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12 March 2026  ·  Lords  ·  Debate</w:t>
      </w:r>
    </w:p>
    <w:p>
      <w:r>
        <w:rPr>
          <w:b/>
        </w:rPr>
        <w:t xml:space="preserve">Policy areas: </w:t>
      </w:r>
      <w:r>
        <w:rPr>
          <w:sz w:val="20"/>
        </w:rPr>
        <w:t>Economy, Employment and labour market, Finance and taxation</w:t>
      </w:r>
    </w:p>
    <w:p>
      <w:r>
        <w:rPr>
          <w:b/>
        </w:rPr>
        <w:t xml:space="preserve">Topics: </w:t>
      </w:r>
      <w:r>
        <w:rPr>
          <w:sz w:val="20"/>
        </w:rPr>
        <w:t>employer pension contributions, national insurance contributions, pension salary sacrifice, student loan repayments, tax relief on pensions</w:t>
      </w:r>
    </w:p>
    <w:p>
      <w:r>
        <w:rPr>
          <w:b/>
        </w:rPr>
        <w:t xml:space="preserve">Source: </w:t>
      </w:r>
      <w:r>
        <w:rPr>
          <w:sz w:val="20"/>
        </w:rPr>
        <w:t>https://hansard.parliament.uk/Lords/2026-03-12/debates/3480819B-5721-4AC1-88D6-196DB51AE24B/NationalInsuranceContributionsEmployerPensionsContributionsBill</w:t>
      </w:r>
    </w:p>
    <w:p/>
    <w:p>
      <w:r>
        <w:rPr>
          <w:b/>
          <w:color w:val="1A4A6E"/>
          <w:sz w:val="22"/>
        </w:rPr>
        <w:t>Lord Livermore</w:t>
      </w:r>
    </w:p>
    <w:p>
      <w:r>
        <w:rPr>
          <w:sz w:val="22"/>
        </w:rPr>
        <w:t>My Lords, the cost of pension salary sacrifice was set to treble to £8 billion a year by the end of this decade. That increase has been driven mostly by high earners, with additional rate taxpayers tripling their salary sacrifice contributions since 2017. This includes individuals sacrificing their bonuses without paying any income tax and national insurance contributions on them. The status quo is neither fair nor fiscally sustainable. We simply cannot afford to allow the cost of pension salary sacrifice to balloon, benefiting predominantly higher earners.</w:t>
      </w:r>
    </w:p>
    <w:p>
      <w:r>
        <w:rPr>
          <w:sz w:val="22"/>
        </w:rPr>
        <w:t>The Bill therefore introduces a cap of £2,000 under which no employer or employee national insurance contributions will be charged on any pension contributions. It protects ordinary workers by using salary sacrifice and limits the impact on employers while ensuring that the system remains fiscally sustainable. The majority of those currently using salary sacrifice will be unaffected.</w:t>
      </w:r>
    </w:p>
    <w:p>
      <w:r>
        <w:rPr>
          <w:sz w:val="22"/>
        </w:rPr>
        <w:t>Saving into a pension, including via salary sacrifice, will also remain hugely tax-advantageous under these changes. The Government currently provide over £70 billion of income tax and national insurance contributions relief on pension contributions each year. That spend will be entirely unaffected by these changes. These are fair and balanced reforms. They protect lower and middle earners. They give employers many years to prepare. They preserve the incentives that underpin workplace pension saving and they ensure that the tax system is kept on a sustainable footing. I beg to move.</w:t>
      </w:r>
    </w:p>
    <w:p/>
    <w:p>
      <w:r>
        <w:rPr>
          <w:b/>
          <w:color w:val="1A4A6E"/>
          <w:sz w:val="22"/>
        </w:rPr>
        <w:t>The Financial Secretary to the Treasury (Lab)</w:t>
      </w:r>
    </w:p>
    <w:p>
      <w:r>
        <w:rPr>
          <w:sz w:val="22"/>
        </w:rPr>
        <w:t>My Lords, as we said at Second Reading, in Committee and again on Report, this is a poorly conceived Bill, because it prioritises the hope of short-term tax gain over the far more important task of sustaining a system that encourages and rewards responsible pension saving. Throughout the Bill’s passage, we have sought to examine it line by line to see what the Government’s policy will actually mean in practice, and what has become clear is deeply troubling.</w:t>
      </w:r>
    </w:p>
    <w:p>
      <w:r>
        <w:rPr>
          <w:sz w:val="22"/>
        </w:rPr>
        <w:t>This measure risks deterring pension savings. It will hit those on lower and middle incomes, including some earning under £30,000 a year. It will impose yet more compliance, payroll and administrative burdens on business, particularly on small businesses and charities that are already under considerable strain. It will particularly penalise those who are repaying student loans.</w:t>
      </w:r>
    </w:p>
    <w:p>
      <w:r>
        <w:rPr>
          <w:sz w:val="22"/>
        </w:rPr>
        <w:t>Against that background, I am proud of the scrutiny that the House has brought to the Bill. Your Lordships have approached it with care, expertise and determination to improve it where we can. As a result, with unusual speed, good order and good humour, the House agreed five amendments last week which seek to limit some of the Bill’s most damaging consequences.</w:t>
      </w:r>
    </w:p>
    <w:p>
      <w:r>
        <w:rPr>
          <w:sz w:val="22"/>
        </w:rPr>
        <w:t>First, our Conservative amendments ensure that basic rate taxpayers, those on the lowest incomes, are protected from the NICs charge. If the Government insist that this policy is directed at higher earners, not those on modest incomes trying to save for their retirement, this should be explicit in the Bill.</w:t>
      </w:r>
    </w:p>
    <w:p>
      <w:r>
        <w:rPr>
          <w:sz w:val="22"/>
        </w:rPr>
        <w:t>Secondly, we proposed an exemption for small and medium-sized enterprises and small charities. These organisations are the backbone of our economy and our communities, and they should not be burdened with yet more payroll, compliance and administrative costs as a result of this policy. We have all seen the impact on them of last year’s £25 billion hit.</w:t>
      </w:r>
    </w:p>
    <w:p>
      <w:r>
        <w:rPr>
          <w:sz w:val="22"/>
        </w:rPr>
        <w:t>Thirdly, we proposed that most of the regulations under the Bill should be subject to the affirmative procedure. Given the uncertainty that surrounds how these provisions will apply, it is only right that Parliament has the opportunity to scrutinise those regulations properly.</w:t>
      </w:r>
    </w:p>
    <w:p>
      <w:r>
        <w:rPr>
          <w:sz w:val="22"/>
        </w:rPr>
        <w:t>Fourthly, my noble friend Lord Leigh of Hurley successfully secured an amendment to limit the impact of the Bill on those repaying student loans, who would be hardest hit by the measure.</w:t>
      </w:r>
    </w:p>
    <w:p>
      <w:r>
        <w:rPr>
          <w:sz w:val="22"/>
        </w:rPr>
        <w:t>Finally, the amendment by the noble Baroness, Lady Kramer, raised the cap to £5,000, helping to mitigate some of the worst impacts of the Bill on those least able to bear them.</w:t>
      </w:r>
    </w:p>
    <w:p>
      <w:r>
        <w:rPr>
          <w:sz w:val="22"/>
        </w:rPr>
        <w:t>In recognition of the seriousness of the issues raised by the Bill and the progress made here, I shall take a moment to thank a number of noble Lords for the diligence with which they have scrutinised it. I am particularly grateful to my noble friends Lord Leigh of Hurley, Lord Fuller, Lord Ashcombe and Lord Mackinlay of Richborough, and the noble Baroness, Lady Altmann. They have worked tirelessly, both with me and my noble friend Lord Altrincham, and their amendments have prompted important debates. I am also grateful to our Whips’ Office team, especially my adviser Oliver Bramley, for their unstinting and effective support, and I thank the noble Baroness, Lady Kramer, for the constructive way in which she has engaged with us during the course of the Bill. Hers has been a powerful voice in holding the Government to account.</w:t>
      </w:r>
    </w:p>
    <w:p>
      <w:r>
        <w:rPr>
          <w:sz w:val="22"/>
        </w:rPr>
        <w:t>More broadly, I thank other noble Lords across the House, including the noble Lords, Lord de Clifford, Lord Londesborough and Lord Freyberg, for their thoughtful contributions in scrutinising the legislation. Finally, it would be remiss of me not to thank the Minister for the way in which he has engaged with the House during the passage of the Bill. I am particularly grateful to him and his officials for their response to the letter I sent following Committee. It addressed a number of the questions raised during our debates and was both timely and informative.</w:t>
      </w:r>
    </w:p>
    <w:p>
      <w:r>
        <w:rPr>
          <w:sz w:val="22"/>
        </w:rPr>
        <w:t>I hope that, as the Bill proceeds, the Government will reflect carefully on the points raised and show a willingness to move on the issues that have united so many across this House.</w:t>
      </w:r>
    </w:p>
    <w:p/>
    <w:p>
      <w:r>
        <w:rPr>
          <w:b/>
          <w:color w:val="1A4A6E"/>
          <w:sz w:val="22"/>
        </w:rPr>
        <w:t>Baroness Neville-Rolfe</w:t>
      </w:r>
    </w:p>
    <w:p>
      <w:r>
        <w:rPr>
          <w:sz w:val="22"/>
        </w:rPr>
        <w:t>My Lords, this was a very short Bill but, frankly, I do not know how it got through the House of Commons and came to this House without clarity on the fundamental issue of whether we were talking about a cap that was per employee or per employment. I thank the noble Lord, Lord Livermore, for seeking the answers to that and making sure we were informed on Report. We were looking at two different Bills, not knowing which one we were working on, until we reached that point in the conversation, so I thank him.</w:t>
      </w:r>
    </w:p>
    <w:p>
      <w:r>
        <w:rPr>
          <w:sz w:val="22"/>
        </w:rPr>
        <w:t>I also join in saying that this was a collaborative effort, not in opposition to the Government but because we were of common mind across the Conservative Benches, my Benches and the Cross Benches—the noble Lords, Lord Londesborough, Lord de Clifford and Lord Freyberg, as the noble Baroness, Lady Neville-Rolfe, mentioned, all played a crucial role in this. I particularly congratulate my Benches on taking a vow of omertà not to speak on many occasions on the Bill so that we moved it rapidly through the House. I think the whole House was grateful that, on Thursday, when we finally came to vote, we were done in less than two hours rather than delaying everyone from departing on a Thursday. I thank my team very much for their discipline. I also thank Ulysse Abbate in our Whips’ office, who is new to this kind of work, but my goodness is he good at content and co-ordination.</w:t>
      </w:r>
    </w:p>
    <w:p>
      <w:r>
        <w:rPr>
          <w:sz w:val="22"/>
        </w:rPr>
        <w:t>This was a good example of people, having realised they are taking the same position, working together to make sure that it is effective. I very much hope that the Commons will appreciate the significance of the amendments passed to the Bill. Of all the Bills I have ever seen, this contains so many unintended consequences that, even if you believed in the fundamentals behind it, you would need to make substantial change for it to be in any way workable and not ending up targeting unintended groups, such as those on basic incomes. It would be devastating for people repaying student loans, which has to be fixed, and very difficult for SMEs. We chose different routes to try to make those changes and ended up with a very solid group of amendments. I thank the House for co-operating on this issue.</w:t>
      </w:r>
    </w:p>
    <w:p/>
    <w:p>
      <w:r>
        <w:rPr>
          <w:b/>
          <w:color w:val="1A4A6E"/>
          <w:sz w:val="22"/>
        </w:rPr>
        <w:t>Baroness Kramer</w:t>
      </w:r>
    </w:p>
    <w:p>
      <w:r>
        <w:rPr>
          <w:sz w:val="22"/>
        </w:rPr>
        <w:t>My Lords, I am very grateful to the noble Baronesses, Lady Neville-Rolfe and Lady Kramer. I beg to move.</w:t>
      </w:r>
    </w:p>
    <w:p/>
    <w:p>
      <w:r>
        <w:rPr>
          <w:b/>
          <w:color w:val="1A4A6E"/>
          <w:sz w:val="22"/>
        </w:rPr>
        <w:t>Lord Livermore</w:t>
      </w:r>
    </w:p>
    <w:p>
      <w:r>
        <w:rPr>
          <w:sz w:val="22"/>
        </w:rPr>
        <w:t>My Lords, I am very grateful to the noble Baronesses, Lady Neville-Rolfe and Lady Kramer.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