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Speaker’s Statement</w:t>
      </w:r>
    </w:p>
    <w:p>
      <w:r>
        <w:rPr>
          <w:sz w:val="20"/>
        </w:rPr>
        <w:t>12 January 2026  ·  Commons  ·  Ministerial Statement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election of lord speaker, lord mcfall work, lord speaker congratulations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https://hansard.parliament.uk/Commons/2026-01-12/debates/1743D204-62F1-481A-835C-BF9425B4AB86/SpeakersStatement</w:t>
      </w:r>
    </w:p>
    <w:p/>
    <w:p>
      <w:r>
        <w:rPr>
          <w:b/>
          <w:color w:val="1A4A6E"/>
          <w:sz w:val="22"/>
        </w:rPr>
        <w:t>Speaker</w:t>
      </w:r>
    </w:p>
    <w:p>
      <w:r>
        <w:rPr>
          <w:sz w:val="22"/>
        </w:rPr>
        <w:t>I would like to inform the House that Lord Forsyth of Drumlean has been elected as the next Lord Speaker. On behalf of the House of Commons, I would like to congratulate Lord Forsyth on his election—I look forward to working with him. I would also like to thank Lord McFall for the work he has carried out as Lord Speaker.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