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Social and Affordable Homes: Camborne and Redruth</w:t>
      </w:r>
    </w:p>
    <w:p>
      <w:r>
        <w:rPr>
          <w:sz w:val="20"/>
        </w:rPr>
        <w:t>12 January 2026  ·  Commons  ·  Oral Questions</w:t>
      </w:r>
    </w:p>
    <w:p>
      <w:r>
        <w:rPr>
          <w:b/>
        </w:rPr>
        <w:t xml:space="preserve">Policy areas: </w:t>
      </w:r>
      <w:r>
        <w:rPr>
          <w:sz w:val="20"/>
        </w:rPr>
        <w:t>Housing and planning</w:t>
      </w:r>
    </w:p>
    <w:p>
      <w:r>
        <w:rPr>
          <w:b/>
        </w:rPr>
        <w:t xml:space="preserve">Topics: </w:t>
      </w:r>
      <w:r>
        <w:rPr>
          <w:sz w:val="20"/>
        </w:rPr>
        <w:t>affordable housing, housing programme, housing regeneration, second homes, social and affordable homes</w:t>
      </w:r>
    </w:p>
    <w:p>
      <w:r>
        <w:rPr>
          <w:b/>
        </w:rPr>
        <w:t xml:space="preserve">Source: </w:t>
      </w:r>
      <w:r>
        <w:rPr>
          <w:sz w:val="20"/>
        </w:rPr>
        <w:t>https://hansard.parliament.uk/Commons/2026-01-12/debates/5FCC98CE-CB8D-4301-90B5-04FE8E911014/SocialAndAffordableHomesCamborneAndRedruth</w:t>
      </w:r>
    </w:p>
    <w:p/>
    <w:p>
      <w:r>
        <w:rPr>
          <w:b/>
          <w:color w:val="1A4A6E"/>
          <w:sz w:val="22"/>
        </w:rPr>
        <w:t>Perran Moon (Lab)</w:t>
      </w:r>
    </w:p>
    <w:p>
      <w:r>
        <w:rPr>
          <w:sz w:val="22"/>
        </w:rPr>
        <w:t>9. What steps he is taking to build more social and affordable homes in Camborne and Redruth constituency.</w:t>
      </w:r>
    </w:p>
    <w:p/>
    <w:p>
      <w:r>
        <w:rPr>
          <w:b/>
          <w:color w:val="1A4A6E"/>
          <w:sz w:val="22"/>
        </w:rPr>
        <w:t>Matthew Pennycook (The Minister for Housing and Planning)</w:t>
      </w:r>
    </w:p>
    <w:p>
      <w:r>
        <w:rPr>
          <w:sz w:val="22"/>
        </w:rPr>
        <w:t>On 11 November last year, I set out the full details of our £39 billion, 10-year social and affordable homes programme. In the coming weeks, we will provide registered providers with the remaining information that they need to finalise their business and future supply plans, so that they can submit large and ambitious proposals when bidding opens next month.</w:t>
      </w:r>
    </w:p>
    <w:p/>
    <w:p>
      <w:r>
        <w:rPr>
          <w:b/>
          <w:color w:val="1A4A6E"/>
          <w:sz w:val="22"/>
        </w:rPr>
        <w:t>Perran Moon</w:t>
      </w:r>
    </w:p>
    <w:p>
      <w:r>
        <w:rPr>
          <w:sz w:val="22"/>
        </w:rPr>
        <w:t>Meur ras, Mr Speaker. With your good grace, I would like to take this opportunity to thank members of the emergency services, who responded so courageously across Cornwall during and in the wake of one of the worst ever storms to hit the duchy. I also thank the 600,000 people of Cornwall, who heeded pre-storm advice and kept fatalities, mercifully, to a minimum. The loss of one life is too many, but it could have been far worse. Over 1,000 trees are down, and hundreds of thousands of people were plunged into darkness, with no power. I hope that Ministers will create the appropriate forum to discuss the lessons learned from Storm Goretti.</w:t>
      </w:r>
    </w:p>
    <w:p>
      <w:r>
        <w:rPr>
          <w:sz w:val="22"/>
        </w:rPr>
        <w:t>The Secretary of State has confirmed that, because of our unique status, Cornwall will be a single strategic authority for the purposes of devolution. The greatest threat facing the constituents of Camborne, Redruth and Hayle today is the lack of social and truly affordable homes, which is compounded by the 14,000 second homes and 25,000 Airbnbs, leading to an exodus of our young people and a chronic lack of key workers. Given these factors—</w:t>
      </w:r>
    </w:p>
    <w:p/>
    <w:p>
      <w:r>
        <w:rPr>
          <w:b/>
          <w:color w:val="1A4A6E"/>
          <w:sz w:val="22"/>
        </w:rPr>
        <w:t>Speaker</w:t>
      </w:r>
    </w:p>
    <w:p>
      <w:r>
        <w:rPr>
          <w:sz w:val="22"/>
        </w:rPr>
        <w:t>Order. I gave a lot of leeway at the beginning of the question. I think the Minister will have got the message already.</w:t>
      </w:r>
    </w:p>
    <w:p/>
    <w:p>
      <w:r>
        <w:rPr>
          <w:b/>
          <w:color w:val="1A4A6E"/>
          <w:sz w:val="22"/>
        </w:rPr>
        <w:t>Matthew Pennycook</w:t>
      </w:r>
    </w:p>
    <w:p>
      <w:r>
        <w:rPr>
          <w:sz w:val="22"/>
        </w:rPr>
        <w:t>I think the thrust of my hon. Friend’s question was about what arrangements can be put in place for Cornwall so that it can better deliver housing and regenerate areas that have been identified by the council. As he will know, strategic place partnerships are reserved for mayoral strategic authorities that bring together more than one council into a combined authority. That said, and not least as a result of hearing representations from my hon. Friends who represent Cornish constituencies, I encourage Homes England to deepen its partnership with Cornwall council and to explore a memorandum of understanding or similar partnership agreement to support its ambitious housing and regeneration plans.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