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Cheshire and Warrington Combined Authority Order 2026</w:t>
      </w:r>
    </w:p>
    <w:p>
      <w:r>
        <w:rPr>
          <w:sz w:val="20"/>
        </w:rPr>
        <w:t>12 February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combined authority order, draft orders, secondary legislation scrutiny,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https://hansard.parliament.uk/Lords/2026-02-12/debates/995BCA8C-F839-48C4-AC85-4F16C026160D/CheshireAndWarringtonCombinedAuthorityOrder2026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Orders laid before the House on 18 December 2025 be approved. Relevant document: 47th Report from the Secondary Legislation Scrutiny Committee . Considered in Grand Committee on 10 February.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