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Cheshire and Warrington Combined Authority Order 2026</w:t>
      </w:r>
    </w:p>
    <w:p>
      <w:r>
        <w:rPr>
          <w:sz w:val="20"/>
        </w:rPr>
        <w:t>12 February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administration, Local government</w:t>
      </w:r>
    </w:p>
    <w:p>
      <w:r>
        <w:rPr>
          <w:b/>
        </w:rPr>
        <w:t xml:space="preserve">Topics: </w:t>
      </w:r>
      <w:r>
        <w:rPr>
          <w:sz w:val="20"/>
        </w:rPr>
        <w:t>combined authority order, draft orders, secondary legislation scrutiny, statutory instrument approval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https://hansard.parliament.uk/Lords/2026-02-12/debates/995BCA8C-F839-48C4-AC85-4F16C026160D/CheshireAndWarringtonCombinedAuthorityOrder2026</w:t>
      </w:r>
    </w:p>
    <w:p/>
    <w:p>
      <w:r>
        <w:rPr>
          <w:b/>
          <w:color w:val="1A4A6E"/>
          <w:sz w:val="22"/>
        </w:rPr>
        <w:t>Baroness Taylor of Stevenage</w:t>
      </w:r>
    </w:p>
    <w:p>
      <w:r>
        <w:rPr>
          <w:sz w:val="22"/>
        </w:rPr>
        <w:t>That the draft Orders laid before the House on 18 December 2025 be approved. Relevant document: 47th Report from the Secondary Legislation Scrutiny Committee . Considered in Grand Committee on 10 February.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