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Retirement of a Member:  Lord Hodgson of Astley Abbotts</w:t>
      </w:r>
    </w:p>
    <w:p>
      <w:r>
        <w:rPr>
          <w:sz w:val="20"/>
        </w:rPr>
        <w:t>12 December 2025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https://hansard.parliament.uk/Lords/2025-12-12/debates/E906C386-49E3-40EB-9F40-C4718CA8FE97/RetirementOfAMemberLordHodgsonOfAstleyAbbotts</w:t>
      </w:r>
    </w:p>
    <w:p/>
    <w:p>
      <w:r>
        <w:rPr>
          <w:b/>
          <w:color w:val="1A4A6E"/>
          <w:sz w:val="22"/>
        </w:rPr>
        <w:t>Lord Gardiner of Kimble (The Senior Deputy Speaker)</w:t>
      </w:r>
    </w:p>
    <w:p>
      <w:r>
        <w:rPr>
          <w:sz w:val="22"/>
        </w:rPr>
        <w:t>My Lords, I should like to notify the House of the retirement, with effect from today, of the noble Lord, Lord Hodgson of Astley Abbotts, pursuant to Section 1 of the House of Lords Reform Act 2014. On behalf of the House, I thank the noble Lord for his much-valued service to the House.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