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Industrial Training Levy (Construction Industry Training Board) Order 2026</w:t>
      </w:r>
    </w:p>
    <w:p>
      <w:r>
        <w:rPr>
          <w:sz w:val="20"/>
        </w:rPr>
        <w:t>11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Education, training and skills, Employment and labour market, Finance and taxation</w:t>
      </w:r>
    </w:p>
    <w:p>
      <w:r>
        <w:rPr>
          <w:b/>
        </w:rPr>
        <w:t xml:space="preserve">Topics: </w:t>
      </w:r>
      <w:r>
        <w:rPr>
          <w:sz w:val="20"/>
        </w:rPr>
        <w:t>construction industry training, industrial training levy, levy order 2026, statutory instrument approval, training board order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https://hansard.parliament.uk/Lords/2026-03-11/debates/16963F0B-E4B7-4BCA-86BA-523865EF07B8/IndustrialTrainingLevyConstructionIndustryTrainingBoardOrder2026</w:t>
      </w:r>
    </w:p>
    <w:p/>
    <w:p>
      <w:r>
        <w:rPr>
          <w:b/>
          <w:color w:val="1A4A6E"/>
          <w:sz w:val="22"/>
        </w:rPr>
        <w:t>Baroness Blake of Leeds</w:t>
      </w:r>
    </w:p>
    <w:p>
      <w:r>
        <w:rPr>
          <w:sz w:val="22"/>
        </w:rPr>
        <w:t>That the draft Order laid before the House on 2 February be approved. Considered in Grand Committee on 9 March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