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Human Medicines (Amendment) Regulations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human medicines regulations, secondary legislation scrutiny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https://hansard.parliament.uk/Lords/2026-03-11/debates/EA6E1B0E-B7FD-4CE1-ABFD-DC878CE9A0BE/HumanMedicinesAmendmentRegulations2026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Regulations laid before the House on 29 January be approved. Relevant document: 51st Report from the Secondary Legislation Scrutiny Committee. Considered in Grand Committee on 9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