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Electricity and Gas (Energy Company Obligation) (Amendment) (Specified Period) Order 2026</w:t>
      </w:r>
    </w:p>
    <w:p>
      <w:r>
        <w:rPr>
          <w:sz w:val="20"/>
        </w:rPr>
        <w:t>11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Energy, Environment</w:t>
      </w:r>
    </w:p>
    <w:p>
      <w:r>
        <w:rPr>
          <w:b/>
        </w:rPr>
        <w:t xml:space="preserve">Topics: </w:t>
      </w:r>
      <w:r>
        <w:rPr>
          <w:sz w:val="20"/>
        </w:rPr>
        <w:t>electricity and gas, energy company obligation, energy efficiency schemes, specified period order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https://hansard.parliament.uk/Lords/2026-03-11/debates/FEDBD08B-1968-415D-B8AC-3C6FAB1E7745/ElectricityAndGasEnergyCompanyObligationAmendmentSpecifiedPeriodOrder2026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Order laid before the House on 26 January be approved. Considered in Grand Committee on 9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