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Electricity and Gas (Energy Company Obligation) (Amendment) (Specified Period) Order 2026</w:t>
      </w:r>
    </w:p>
    <w:p>
      <w:r>
        <w:rPr>
          <w:sz w:val="20"/>
        </w:rPr>
        <w:t>11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Economy, Energy, Environment</w:t>
      </w:r>
    </w:p>
    <w:p>
      <w:r>
        <w:rPr>
          <w:b/>
        </w:rPr>
        <w:t xml:space="preserve">Topics: </w:t>
      </w:r>
      <w:r>
        <w:rPr>
          <w:sz w:val="20"/>
        </w:rPr>
        <w:t>electricity and gas, energy company obligation, energy efficiency schemes, specified period order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https://hansard.parliament.uk/Lords/2026-03-11/debates/FEDBD08B-1968-415D-B8AC-3C6FAB1E7745/ElectricityAndGasEnergyCompanyObligationAmendmentSpecifiedPeriodOrder2026</w:t>
      </w:r>
    </w:p>
    <w:p/>
    <w:p>
      <w:r>
        <w:rPr>
          <w:b/>
          <w:color w:val="1A4A6E"/>
          <w:sz w:val="22"/>
        </w:rPr>
        <w:t>Lord Whitehead</w:t>
      </w:r>
    </w:p>
    <w:p>
      <w:r>
        <w:rPr>
          <w:sz w:val="22"/>
        </w:rPr>
        <w:t>That the draft Order laid before the House on 26 January be approved. Considered in Grand Committee on 9 March.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