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11 June 2025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https://hansard.parliament.uk/Lords/2025-06-11/debates/203942C4-1DD6-410B-8A93-2C58B54B0A6D/ArrangementOfBusiness</w:t>
      </w:r>
    </w:p>
    <w:p/>
    <w:p>
      <w:r>
        <w:rPr>
          <w:b/>
          <w:color w:val="1A4A6E"/>
          <w:sz w:val="22"/>
        </w:rPr>
        <w:t>Captain of the Honourable Corps of Gentlemen-at-Arms and Chief Whip (Lab Co-op)</w:t>
      </w:r>
    </w:p>
    <w:p>
      <w:r>
        <w:rPr>
          <w:sz w:val="22"/>
        </w:rPr>
        <w:t>My Lords, before we move on to the next item of business, I refer the House to the guidance on ping-pong as set out on T oday’s L ist s . We have three items of very important voting business before the House today. I want to ensure that all items are considered properly and in a timely manner.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