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Troubles-era Violence: IRA Accountability</w:t>
      </w:r>
    </w:p>
    <w:p>
      <w:r>
        <w:rPr>
          <w:sz w:val="20"/>
        </w:rPr>
        <w:t>11 February 2026  ·  Commons  ·  Oral Questions</w:t>
      </w:r>
    </w:p>
    <w:p>
      <w:r>
        <w:rPr>
          <w:b/>
        </w:rPr>
        <w:t xml:space="preserve">Policy areas: </w:t>
      </w:r>
      <w:r>
        <w:rPr>
          <w:sz w:val="20"/>
        </w:rPr>
        <w:t>Crime, justice and law, Government and public administration</w:t>
      </w:r>
    </w:p>
    <w:p>
      <w:r>
        <w:rPr>
          <w:b/>
        </w:rPr>
        <w:t xml:space="preserve">Topics: </w:t>
      </w:r>
      <w:r>
        <w:rPr>
          <w:sz w:val="20"/>
        </w:rPr>
        <w:t>agent stakeknife naming, good friday agreement, ira prosecutions, legacy commission investigations, troubles-era violence accountability</w:t>
      </w:r>
    </w:p>
    <w:p>
      <w:r>
        <w:rPr>
          <w:b/>
        </w:rPr>
        <w:t xml:space="preserve">Source: </w:t>
      </w:r>
      <w:r>
        <w:rPr>
          <w:sz w:val="20"/>
        </w:rPr>
        <w:t>https://hansard.parliament.uk/Commons/2026-02-11/debates/469ED9AA-35BF-4929-A4D1-D28BD2A45FD2/TroubleseraViolenceIraAccountability</w:t>
      </w:r>
    </w:p>
    <w:p/>
    <w:p>
      <w:r>
        <w:rPr>
          <w:b/>
          <w:color w:val="1A4A6E"/>
          <w:sz w:val="22"/>
        </w:rPr>
        <w:t>David Davis (Con)</w:t>
      </w:r>
    </w:p>
    <w:p>
      <w:r>
        <w:rPr>
          <w:sz w:val="22"/>
        </w:rPr>
        <w:t>7. What steps he is taking to help ensure adequate accountability for troubles-era violence for members of the IRA.</w:t>
      </w:r>
    </w:p>
    <w:p/>
    <w:p>
      <w:r>
        <w:rPr>
          <w:b/>
          <w:color w:val="1A4A6E"/>
          <w:sz w:val="22"/>
        </w:rPr>
        <w:t>Hilary Benn (The Secretary of State for Northern Ireland)</w:t>
      </w:r>
    </w:p>
    <w:p>
      <w:r>
        <w:rPr>
          <w:sz w:val="22"/>
        </w:rPr>
        <w:t>There are currently six republican paramilitaries facing prosecution for troubles-related killings. The legacy commission is already investigating a number of IRA atrocities, including the M62 coach bombing, the Guildford pub bombing and the Warrenpoint massacre. Under the Northern Ireland Troubles Bill, the commission will benefit from information sharing by the Irish authorities.</w:t>
      </w:r>
    </w:p>
    <w:p/>
    <w:p>
      <w:r>
        <w:rPr>
          <w:b/>
          <w:color w:val="1A4A6E"/>
          <w:sz w:val="22"/>
        </w:rPr>
        <w:t>David Davis</w:t>
      </w:r>
    </w:p>
    <w:p>
      <w:r>
        <w:rPr>
          <w:sz w:val="22"/>
        </w:rPr>
        <w:t>Some 2,058 people died at the hands of republican paramilitaries during the troubles—2,058—but despite that fact, only 19 IRA members are currently in prison. The Secretary of State laughably claims there was no amnesty under the Good Friday agreement, and he gives us only the few he has just mentioned. Can he tell the House how many prosecutions of IRA members he expects to arise under his troubles Bill, and how many families of people murdered by the IRA will find out what happened to their relatives?</w:t>
      </w:r>
    </w:p>
    <w:p/>
    <w:p>
      <w:r>
        <w:rPr>
          <w:b/>
          <w:color w:val="1A4A6E"/>
          <w:sz w:val="22"/>
        </w:rPr>
        <w:t>Hilary Benn</w:t>
      </w:r>
    </w:p>
    <w:p>
      <w:r>
        <w:rPr>
          <w:sz w:val="22"/>
        </w:rPr>
        <w:t>The answer to the right hon. Member’s first question is that it will depend, as he well knows, on the evidence in any individual case, and that decision will be taken by public prosecutors in the normal way. On his second question, he will be aware that between 25,000 and 35,000 paramilitaries were imprisoned during the troubles for a range of offences, including murder, and the purpose of the reform is to ensure that more families are able to find answers to the questions, which they are still asking, about what happened to their loved ones.</w:t>
      </w:r>
    </w:p>
    <w:p/>
    <w:p>
      <w:r>
        <w:rPr>
          <w:b/>
          <w:color w:val="1A4A6E"/>
          <w:sz w:val="22"/>
        </w:rPr>
        <w:t>Speaker</w:t>
      </w:r>
    </w:p>
    <w:p>
      <w:r>
        <w:rPr>
          <w:sz w:val="22"/>
        </w:rPr>
        <w:t>I call the Chair of the Northern Ireland Affairs Committee.</w:t>
      </w:r>
    </w:p>
    <w:p/>
    <w:p>
      <w:r>
        <w:rPr>
          <w:b/>
          <w:color w:val="1A4A6E"/>
          <w:sz w:val="22"/>
        </w:rPr>
        <w:t>Tonia Antoniazzi (Lab)</w:t>
      </w:r>
    </w:p>
    <w:p>
      <w:r>
        <w:rPr>
          <w:sz w:val="22"/>
        </w:rPr>
        <w:t>On the subject of troubles-era violence, this week my Committee published a unanimous report calling on the Government to formally name agent Stakeknife. The Government have said that the Supreme Court judgment in the Thompson case has implications for their decision, but lead officers have said it does not. What is preventing the Government from naming Stakeknife, and when do they plan to do so?</w:t>
      </w:r>
    </w:p>
    <w:p/>
    <w:p>
      <w:r>
        <w:rPr>
          <w:b/>
          <w:color w:val="1A4A6E"/>
          <w:sz w:val="22"/>
        </w:rPr>
        <w:t>Hilary Benn</w:t>
      </w:r>
    </w:p>
    <w:p>
      <w:r>
        <w:rPr>
          <w:sz w:val="22"/>
        </w:rPr>
        <w:t>I have, of course, seen the report that the Select Committee has published. There are ongoing civil proceedings and the Government, as I indicated previously, are still considering the implications of the Supreme Court’s Thompson judgment for this decision. I have promised the House that I will return when the Government have reached a decision on the request made by Sir Iain Livingstone, and I intend to honour that promise.</w:t>
      </w:r>
    </w:p>
    <w:p/>
    <w:p>
      <w:r>
        <w:rPr>
          <w:b/>
          <w:color w:val="1A4A6E"/>
          <w:sz w:val="22"/>
        </w:rPr>
        <w:t>David Davis</w:t>
      </w:r>
    </w:p>
    <w:p>
      <w:r>
        <w:rPr>
          <w:sz w:val="22"/>
        </w:rPr>
        <w:t>On a point of order, Mr Speaker. In view of the inadequate response that I received from the Secretary of State on Question 7, I give notice that I intend to raise this matter on the Adjournment.</w:t>
      </w:r>
    </w:p>
    <w:p/>
    <w:p>
      <w:r>
        <w:rPr>
          <w:b/>
          <w:color w:val="1A4A6E"/>
          <w:sz w:val="22"/>
        </w:rPr>
        <w:t>Speaker</w:t>
      </w:r>
    </w:p>
    <w:p>
      <w:r>
        <w:rPr>
          <w:sz w:val="22"/>
        </w:rPr>
        <w:t>The right hon. Gentleman has put that decision on the record. I am not going to extend Northern Ireland questions, so we will move on.</w:t>
      </w:r>
    </w:p>
    <w:p>
      <w:r>
        <w:rPr>
          <w:sz w:val="22"/>
        </w:rPr>
        <w:t>Before we come to Prime Minister’s questions, I welcome to the Gallery the President—the Speaker—of the Parliament of Estonia. I thank him and his delegation for being with us today from Estonia.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