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 [HL]</w:t>
      </w:r>
    </w:p>
    <w:p>
      <w:r>
        <w:rPr>
          <w:sz w:val="20"/>
        </w:rPr>
        <w:t>11 February 2026  ·  Lords  ·  Debate</w:t>
      </w:r>
    </w:p>
    <w:p>
      <w:r>
        <w:rPr>
          <w:b/>
        </w:rPr>
        <w:t xml:space="preserve">Policy areas: </w:t>
      </w:r>
      <w:r>
        <w:rPr>
          <w:sz w:val="20"/>
        </w:rPr>
        <w:t>Health and social care, Parliament and constitution</w:t>
      </w:r>
    </w:p>
    <w:p>
      <w:r>
        <w:rPr>
          <w:b/>
        </w:rPr>
        <w:t xml:space="preserve">Topics: </w:t>
      </w:r>
      <w:r>
        <w:rPr>
          <w:sz w:val="20"/>
        </w:rPr>
        <w:t>parliamentary procedure, report stage amendments, tobacco and vapes bill</w:t>
      </w:r>
    </w:p>
    <w:p>
      <w:r>
        <w:rPr>
          <w:b/>
        </w:rPr>
        <w:t xml:space="preserve">Source: </w:t>
      </w:r>
      <w:r>
        <w:rPr>
          <w:sz w:val="20"/>
        </w:rPr>
        <w:t>https://hansard.parliament.uk/Lords/2026-02-11/debates/1979D794-6F2D-4E24-80CE-919472B43351/TobaccoAndVapesBillHl</w:t>
      </w:r>
    </w:p>
    <w:p/>
    <w:p>
      <w:r>
        <w:rPr>
          <w:b/>
          <w:color w:val="1A4A6E"/>
          <w:sz w:val="22"/>
        </w:rPr>
        <w:t>Baroness Merron</w:t>
      </w:r>
    </w:p>
    <w:p>
      <w:r>
        <w:rPr>
          <w:sz w:val="22"/>
        </w:rPr>
        <w:t>That the amendments for the Report stage be marshalled and considered in the following order: Clauses 1 to 16, Schedule 1, Clauses 17 and 18, Schedule 2, Clause 19, Schedule 3, Clauses 20 and 21, Schedule 4, Clauses 22 to 40, Schedule 5, Clause 41, Schedules 6 and 7, Clauses 42 to 64, Schedule 8, Clause 65, Schedule 9, Clauses 66 to 83, Schedule 10, Clause 84, Schedules 11 to 13, Clauses 85 and 86, Schedules 14 and 15, Clauses 87 to 126, Schedule 16, Clauses 127 to 140, Schedule 17, Clauses 141 to 145, Schedule 18, Clauses 146 to 151, Schedule 19, Clauses 152 to 156, Schedule 20, Clauses 157 to 159, Schedule 21, Clauses 160 to 170, Title.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