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Social Security Benefits Up-rating Order 2026</w:t>
      </w:r>
    </w:p>
    <w:p>
      <w:r>
        <w:rPr>
          <w:sz w:val="20"/>
        </w:rPr>
        <w:t>11 February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Economy, Finance and taxation, Welfare and benefits</w:t>
      </w:r>
    </w:p>
    <w:p>
      <w:r>
        <w:rPr>
          <w:b/>
        </w:rPr>
        <w:t xml:space="preserve">Topics: </w:t>
      </w:r>
      <w:r>
        <w:rPr>
          <w:sz w:val="20"/>
        </w:rPr>
        <w:t>guaranteed minimum pensions, pension increase order, pensions increase order, social security benefits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https://hansard.parliament.uk/Lords/2026-02-11/debates/90EC464B-F27D-4C0F-9A4D-489126011B98/SocialSecurityBenefitsUpratingOrder2026</w:t>
      </w:r>
    </w:p>
    <w:p/>
    <w:p>
      <w:r>
        <w:rPr>
          <w:b/>
          <w:color w:val="1A4A6E"/>
          <w:sz w:val="22"/>
        </w:rPr>
        <w:t>Baroness Sherlock</w:t>
      </w:r>
    </w:p>
    <w:p>
      <w:r>
        <w:rPr>
          <w:sz w:val="22"/>
        </w:rPr>
        <w:t>That the draft Orders laid before the House on 12 January be approved. Relevant document: 49th Report from the Secondary Legislation Scrutiny Committee . Considered in Grand Committee on 10 February.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