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Government Finance Act 1988 (Prescription of Non-Domestic Rating Multipliers) (England) Regulations 2026</w:t>
      </w:r>
    </w:p>
    <w:p>
      <w:r>
        <w:rPr>
          <w:sz w:val="20"/>
        </w:rPr>
        <w:t>11 February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Local government</w:t>
      </w:r>
    </w:p>
    <w:p>
      <w:r>
        <w:rPr>
          <w:b/>
        </w:rPr>
        <w:t xml:space="preserve">Topics: </w:t>
      </w:r>
      <w:r>
        <w:rPr>
          <w:sz w:val="20"/>
        </w:rPr>
        <w:t>draft regulations, local government finance, non-domestic rating multipliers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https://hansard.parliament.uk/Lords/2026-02-11/debates/13C40B99-5FCA-4467-9CB3-D55B59E64C3A/LocalGovernmentFinanceAct1988PrescriptionOfNondomesticRatingMultipliersEnglandRegulations2026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draft Regulations laid before the House on 7 January be approved. Relevant document: 48th Report from the Secondary Legislation Scrutiny Committee (s pecial attention drawn to the instrument ). Considered in Grand Committee on 10 February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