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Immigration Skills Charge (Amendment) Regulations 2025</w:t>
      </w:r>
    </w:p>
    <w:p>
      <w:r>
        <w:rPr>
          <w:sz w:val="20"/>
        </w:rPr>
        <w:t>11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Employment and labour market, Finance and taxation, Immigration and borders</w:t>
      </w:r>
    </w:p>
    <w:p>
      <w:r>
        <w:rPr>
          <w:b/>
        </w:rPr>
        <w:t xml:space="preserve">Topics: </w:t>
      </w:r>
      <w:r>
        <w:rPr>
          <w:sz w:val="20"/>
        </w:rPr>
        <w:t>business workforce planning, employer immigration contributions, immigration skills charge, skilled worker visa costs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https://hansard.parliament.uk/Lords/2025-12-11/debates/F46803DA-1DAB-4B10-A11D-9055D8D07BAA/ImmigrationSkillsChargeAmendmentRegulations2025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Regulations laid before the House on 15 October be approved. Relevant document: 40th Report from the Secondary Legislation Scrutiny Committee (special attention drawn to the instrument). Considered in Grand Committee on 4 December.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