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Civil Service Pension Scheme</w:t>
      </w:r>
    </w:p>
    <w:p>
      <w:r>
        <w:rPr>
          <w:sz w:val="20"/>
        </w:rPr>
        <w:t>10 September 2026  ·  Commons  ·  Oral Questions</w:t>
      </w:r>
    </w:p>
    <w:p>
      <w:r>
        <w:rPr>
          <w:b/>
        </w:rPr>
        <w:t xml:space="preserve">Policy areas: </w:t>
      </w:r>
      <w:r>
        <w:rPr>
          <w:sz w:val="20"/>
        </w:rPr>
        <w:t>Employment and labour market, Finance and taxation,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capita contract performance, civil service pension scheme, pension administration issues, pension payment delays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https://hansard.parliament.uk/Commons/2026-09-10/debates/0AEE4EC4-B3D5-43A7-89BD-04DFCAB20331/CivilServicePensionScheme</w:t>
      </w:r>
    </w:p>
    <w:p/>
    <w:p>
      <w:r>
        <w:rPr>
          <w:b/>
          <w:color w:val="1A4A6E"/>
          <w:sz w:val="22"/>
        </w:rPr>
        <w:t>Darren Paffey (Lab)</w:t>
      </w:r>
    </w:p>
    <w:p>
      <w:r>
        <w:rPr>
          <w:sz w:val="22"/>
        </w:rPr>
        <w:t>7. What recent steps her Department has taken to tackle issues impacting the civil service pension scheme.</w:t>
      </w:r>
    </w:p>
    <w:p/>
    <w:p>
      <w:r>
        <w:rPr>
          <w:b/>
          <w:color w:val="1A4A6E"/>
          <w:sz w:val="22"/>
        </w:rPr>
        <w:t>Alex Barros-Curtis (Lab)</w:t>
      </w:r>
    </w:p>
    <w:p>
      <w:r>
        <w:rPr>
          <w:sz w:val="22"/>
        </w:rPr>
        <w:t>15. What recent steps her Department has taken to tackle issues impacting the civil service pension scheme.</w:t>
      </w:r>
    </w:p>
    <w:p/>
    <w:p>
      <w:r>
        <w:rPr>
          <w:b/>
          <w:color w:val="1A4A6E"/>
          <w:sz w:val="22"/>
        </w:rPr>
        <w:t>Sally Jameson (The Parliamentary Secretary, Cabinet Office)</w:t>
      </w:r>
    </w:p>
    <w:p>
      <w:r>
        <w:rPr>
          <w:sz w:val="22"/>
        </w:rPr>
        <w:t>Current service levels are completely unacceptable, and we are holding Capita accountable by withholding payments in the short term and assessing the long-term viability of bringing the scheme in-house. We will continue to use the most stringent commercial levers we have under this contract—which was signed by the last Government—to ensure we have full accountability.</w:t>
      </w:r>
    </w:p>
    <w:p/>
    <w:p>
      <w:r>
        <w:rPr>
          <w:b/>
          <w:color w:val="1A4A6E"/>
          <w:sz w:val="22"/>
        </w:rPr>
        <w:t>Darren Paffey</w:t>
      </w:r>
    </w:p>
    <w:p>
      <w:r>
        <w:rPr>
          <w:sz w:val="22"/>
        </w:rPr>
        <w:t>I welcome my hon. Friend to her place, and thank her for her answer. In Southampton Itchen, I have constituents who have been deprived of their pension for many months. One waited over a year even for an accurate quotation, another is yet to receive a penny after 40 years of service, and one with stage 4 cancer took three months to get any money—and even then, only after I had nagged a Minister to intervene. When I was a Southampton city councillor, we ended Capita’s contract and took those services back in-house. Is it not time for the Government to consider doing the same?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