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Air Traffic Control Disruption</w:t>
      </w:r>
    </w:p>
    <w:p>
      <w:r>
        <w:rPr>
          <w:sz w:val="20"/>
        </w:rPr>
        <w:t>10 September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https://hansard.parliament.uk/Commons/2026-09-10/debates/8D2DAF55-80C0-4FE5-8D92-BE5259D790F5/AirTrafficControlDisruption</w:t>
      </w:r>
    </w:p>
    <w:p/>
    <w:p>
      <w:r>
        <w:rPr>
          <w:b/>
          <w:color w:val="1A4A6E"/>
          <w:sz w:val="22"/>
        </w:rPr>
        <w:t>Madam Deputy Speaker</w:t>
      </w:r>
    </w:p>
    <w:p>
      <w:r>
        <w:rPr>
          <w:sz w:val="22"/>
        </w:rPr>
        <w:t>Before we come to the urgent question, I must say how disappointing it is that the Government were not forthcoming with a proactive ministerial statement on this matter. The disruption to aviation and the impact on many constituents has been considerable. I hope the Minister and the Treasury Front Bench will pass that message on to the Secretary of State.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