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Register of People with Significant Control (Amendment) Regulations 2025</w:t>
      </w:r>
    </w:p>
    <w:p>
      <w:r>
        <w:rPr>
          <w:sz w:val="20"/>
        </w:rPr>
        <w:t>10 September 2025  ·  Lords  ·  Committee Stage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Finance and taxation</w:t>
      </w:r>
    </w:p>
    <w:p>
      <w:r>
        <w:rPr>
          <w:b/>
        </w:rPr>
        <w:t xml:space="preserve">Topics: </w:t>
      </w:r>
      <w:r>
        <w:rPr>
          <w:sz w:val="20"/>
        </w:rPr>
        <w:t>amendment regulations 2025, company beneficial ownership, register of people with significant control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https://hansard.parliament.uk/Lords/2025-09-10/debates/64BE7516-5C06-46C5-861F-C7A7C93B9865/RegisterOfPeopleWithSignificantControlAmendmentRegulations2025</w:t>
      </w:r>
    </w:p>
    <w:p/>
    <w:p>
      <w:r>
        <w:rPr>
          <w:b/>
          <w:color w:val="1A4A6E"/>
          <w:sz w:val="22"/>
        </w:rPr>
        <w:t>Lord Leong</w:t>
      </w:r>
    </w:p>
    <w:p>
      <w:r>
        <w:rPr>
          <w:sz w:val="22"/>
        </w:rPr>
        <w:t>That the Grand Committee do consider the Register of People with Significant Control (Amendment) Regulations 2025.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