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Electrical Safety Standards in the Private Rented Sector (England) (Amendment) (Extension to the Social Rented Sector) Regulations 2025</w:t>
      </w:r>
    </w:p>
    <w:p>
      <w:r>
        <w:rPr>
          <w:sz w:val="20"/>
        </w:rPr>
        <w:t>10 September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Housing and planning</w:t>
      </w:r>
    </w:p>
    <w:p>
      <w:r>
        <w:rPr>
          <w:b/>
        </w:rPr>
        <w:t xml:space="preserve">Topics: </w:t>
      </w:r>
      <w:r>
        <w:rPr>
          <w:sz w:val="20"/>
        </w:rPr>
        <w:t>electrical safety standards, private rented sector, social rented sector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https://hansard.parliament.uk/Lords/2025-09-10/debates/57A5A76B-E8AF-451B-8AD3-0C59ADAF07E9/ElectricalSafetyStandardsInThePrivateRentedSectorEnglandAmendmentExtensionToTheSocialRentedSectorRegulations2025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Grand Committee do consider the Electrical Safety Standards in the Private Rented Sector (England) (Amendment) (Extension to the Social Rented Sector) Regulations 2025.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