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Economic Crime and Corporate Transparency Act 2023 (Consequential, Incidental and Miscellaneous Provisions) Regulations 2025</w:t>
      </w:r>
    </w:p>
    <w:p>
      <w:r>
        <w:rPr>
          <w:sz w:val="20"/>
        </w:rPr>
        <w:t>10 September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Crime, justice and law, Finance and taxation,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consequential provisions, corporate transparency act, economic crime regulations, miscellaneous provisions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https://hansard.parliament.uk/Lords/2025-09-10/debates/C752E378-6955-48B2-BA01-65DE0D73E840/EconomicCrimeAndCorporateTransparencyAct2023ConsequentialIncidentalAndMiscellaneousProvisionsRegulations2025</w:t>
      </w:r>
    </w:p>
    <w:p/>
    <w:p>
      <w:r>
        <w:rPr>
          <w:b/>
          <w:color w:val="1A4A6E"/>
          <w:sz w:val="22"/>
        </w:rPr>
        <w:t>Lord Leong</w:t>
      </w:r>
    </w:p>
    <w:p>
      <w:r>
        <w:rPr>
          <w:sz w:val="22"/>
        </w:rPr>
        <w:t>That the Grand Committee do consider the Economic Crime and Corporate Transparency Act 2023 (Consequential, Incidental and Miscellaneous Provisions) Regulations 2025.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