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0 June 2026  ·  Commons  ·  Ministerial State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riminal sentencing, parliamentary proceedings, sub judice rul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10/debates/B1E4C1D2-F4F5-4195-9D67-DB0A3CA17607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I should inform the House that the Peter Murrell case is sub judice until sentencing. However, I am granting a limited waiver so that Members may discuss wider issues raised in the context of this case. Members should not speculate about sentencing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