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10 June 2026  ·  Commons  ·  Ministerial State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riminal sentencing, parliamentary proceedings, sub judice rul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10/debates/B1E4C1D2-F4F5-4195-9D67-DB0A3CA17607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I should inform the House that the Peter Murrell case is sub judice until sentencing. However, I am granting a limited waiver so that Members may discuss wider issues raised in the context of this case. Members should not speculate about sentencing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