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rPr>
          <w:sz w:val="32"/>
        </w:rPr>
        <w:t>Oaths and Affirmations</w:t>
      </w:r>
    </w:p>
    <w:p>
      <w:r>
        <w:rPr>
          <w:sz w:val="20"/>
        </w:rPr>
        <w:t>10 June 2026  ·  Lords  ·  Proceedings</w:t>
      </w:r>
    </w:p>
    <w:p>
      <w:r>
        <w:rPr>
          <w:b/>
        </w:rPr>
        <w:t xml:space="preserve">Source: </w:t>
      </w:r>
      <w:r>
        <w:rPr>
          <w:sz w:val="20"/>
        </w:rPr>
        <w:t>https://hansard.parliament.uk/Lords/2026-06-10/debates/CF4441C2-F91A-4302-85DA-F43F26B5D3B4/OathsAndAffirmations</w:t>
      </w:r>
    </w:p>
    <w:p/>
    <w:p>
      <w:r>
        <w:rPr>
          <w:sz w:val="18"/>
        </w:rPr>
        <w:t>Source: Hansard (Parliament Open Parliament Licence v3.0). Exported from Westminster Brief — westminsterbrief.co.uk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