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Visas: Schengen Area</w:t>
      </w:r>
    </w:p>
    <w:p>
      <w:r>
        <w:rPr>
          <w:sz w:val="20"/>
        </w:rPr>
        <w:t>10 July 2025  ·  Commons  ·  Oral Questions</w:t>
      </w:r>
    </w:p>
    <w:p>
      <w:r>
        <w:rPr>
          <w:b/>
        </w:rPr>
        <w:t xml:space="preserve">Policy areas: </w:t>
      </w:r>
      <w:r>
        <w:rPr>
          <w:sz w:val="20"/>
        </w:rPr>
        <w:t>Foreign affairs and diplomacy, Immigration and borders, Trade</w:t>
      </w:r>
    </w:p>
    <w:p>
      <w:r>
        <w:rPr>
          <w:b/>
        </w:rPr>
        <w:t xml:space="preserve">Topics: </w:t>
      </w:r>
      <w:r>
        <w:rPr>
          <w:sz w:val="20"/>
        </w:rPr>
        <w:t>brexit travel impact, northern ireland travel, schengen visa rules, uk citizens eu travel</w:t>
      </w:r>
    </w:p>
    <w:p>
      <w:r>
        <w:rPr>
          <w:b/>
        </w:rPr>
        <w:t xml:space="preserve">Source: </w:t>
      </w:r>
      <w:r>
        <w:rPr>
          <w:sz w:val="20"/>
        </w:rPr>
        <w:t>https://hansard.parliament.uk/Commons/2025-07-10/debates/AF1ADCC0-447C-44E1-B336-0E8D04579434/VisasSchengenArea</w:t>
      </w:r>
    </w:p>
    <w:p/>
    <w:p>
      <w:r>
        <w:rPr>
          <w:b/>
          <w:color w:val="1A4A6E"/>
          <w:sz w:val="22"/>
        </w:rPr>
        <w:t>Tom Hayes (Lab)</w:t>
      </w:r>
    </w:p>
    <w:p>
      <w:r>
        <w:rPr>
          <w:sz w:val="22"/>
        </w:rPr>
        <w:t>2. What discussions he has had with his EU counterparts on visa rules for UK citizens visiting the Schengen area for 90 in 180 days.</w:t>
      </w:r>
    </w:p>
    <w:p/>
    <w:p>
      <w:r>
        <w:rPr>
          <w:b/>
          <w:color w:val="1A4A6E"/>
          <w:sz w:val="22"/>
        </w:rPr>
        <w:t>Nick Thomas-Symonds (The Paymaster General and Minister for the Cabinet Office)</w:t>
      </w:r>
    </w:p>
    <w:p>
      <w:r>
        <w:rPr>
          <w:sz w:val="22"/>
        </w:rPr>
        <w:t>Government officials and Ministers, including me, regularly engage the EU on a range of issues of importance to British citizens. The UK and the EU allow for visa travel in line with the standard arrangements for third-country nationals. The UK Government will continue to listen to and advocate for British citizens.</w:t>
      </w:r>
    </w:p>
    <w:p/>
    <w:p>
      <w:r>
        <w:rPr>
          <w:b/>
          <w:color w:val="1A4A6E"/>
          <w:sz w:val="22"/>
        </w:rPr>
        <w:t>Tom Hayes</w:t>
      </w:r>
    </w:p>
    <w:p>
      <w:r>
        <w:rPr>
          <w:sz w:val="22"/>
        </w:rPr>
        <w:t>Many thousands of constituents, including Philip and Kathryn in my constituency, live for part of the year in Spain. Prior to Brexit, they did so without restriction, but now they face limited visa options, resulting in more frequent flying. What conversations has the Minister had with Spain’s Government about ending these barriers?</w:t>
      </w:r>
    </w:p>
    <w:p/>
    <w:p>
      <w:r>
        <w:rPr>
          <w:b/>
          <w:color w:val="1A4A6E"/>
          <w:sz w:val="22"/>
        </w:rPr>
        <w:t>Nick Thomas-Symonds</w:t>
      </w:r>
    </w:p>
    <w:p>
      <w:r>
        <w:rPr>
          <w:sz w:val="22"/>
        </w:rPr>
        <w:t>I thank Philip and Kathryn for raising this issue, and I know my hon. Friend is a powerful advocate for them. The Foreign Office leads on bilateral issues with EU member states, and they regularly engage on a range of issues. While we recognise that extending the 90/180 day period is a matter for member states and the EU, my hon. Friend can be assured that we will continue to listen to and advocate for UK nationals affected.</w:t>
      </w:r>
    </w:p>
    <w:p/>
    <w:p>
      <w:r>
        <w:rPr>
          <w:b/>
          <w:color w:val="1A4A6E"/>
          <w:sz w:val="22"/>
        </w:rPr>
        <w:t>Jim Shannon (DUP)</w:t>
      </w:r>
    </w:p>
    <w:p>
      <w:r>
        <w:rPr>
          <w:sz w:val="22"/>
        </w:rPr>
        <w:t>As the Minister knows, Northern Ireland is in that wonderful limbo land of movement—half in the United Kingdom and half in the EU, because of the unfinished protocol Bill. Can he tell us how those in Northern Ireland will be affected by the Schengen area due to the particular, and perhaps peculiar position they are in as a result of the protocol?</w:t>
      </w:r>
    </w:p>
    <w:p/>
    <w:p>
      <w:r>
        <w:rPr>
          <w:b/>
          <w:color w:val="1A4A6E"/>
          <w:sz w:val="22"/>
        </w:rPr>
        <w:t>Nick Thomas-Symonds</w:t>
      </w:r>
    </w:p>
    <w:p>
      <w:r>
        <w:rPr>
          <w:sz w:val="22"/>
        </w:rPr>
        <w:t>Northern Ireland has the unique advantage of dual market access. On the wider issues of application of EU law that the hon. Gentleman is talking about, he can be assured that as co-chair of the joint committee I work carefully and closely on these matters with the Northern Ireland Executive.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