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Planning</w:t>
      </w:r>
    </w:p>
    <w:p>
      <w:r>
        <w:rPr>
          <w:sz w:val="20"/>
        </w:rPr>
        <w:t>10 July 2025  ·  Commons  ·  Proceedings</w:t>
      </w:r>
    </w:p>
    <w:p>
      <w:r>
        <w:rPr>
          <w:b/>
        </w:rPr>
        <w:t xml:space="preserve">Source: </w:t>
      </w:r>
      <w:r>
        <w:rPr>
          <w:sz w:val="20"/>
        </w:rPr>
        <w:t>https://hansard.parliament.uk/Commons/2025-07-10/debates/9181FA05-37DF-4886-B08F-49B0A51F1653/EnergyPlanning</w:t>
      </w:r>
    </w:p>
    <w:p/>
    <w:p>
      <w:r>
        <w:rPr>
          <w:b/>
          <w:color w:val="1A4A6E"/>
          <w:sz w:val="22"/>
        </w:rPr>
        <w:t>Madam Deputy Speaker</w:t>
      </w:r>
    </w:p>
    <w:p>
      <w:r>
        <w:rPr>
          <w:sz w:val="22"/>
        </w:rPr>
        <w:t>We now come to the first of the Select Committee statements. The Chair of the Committee will speak for up to 10 minutes, during which no interventions may be taken. At the conclusion of his statement, I will call Members to ask questions on the subject of the statement—brief questions, not speeches. I emphasise that questions should be directed to the Committee Chair, not to the Minister. Front Benchers may take part in questioning.</w:t>
      </w:r>
    </w:p>
    <w:p/>
    <w:p>
      <w:r>
        <w:rPr>
          <w:b/>
          <w:color w:val="1A4A6E"/>
          <w:sz w:val="22"/>
        </w:rPr>
        <w:t>Bill Esterson (Lab)</w:t>
      </w:r>
    </w:p>
    <w:p>
      <w:r>
        <w:rPr>
          <w:sz w:val="22"/>
        </w:rPr>
        <w:t>It gives me great pleasure to present our Committee’s first report of this Session, “Gridlock or growth? Avoiding energy planning chaos”. I think it follows on very nicely from the statement we have just heard from the Secretary of State for Energy Security and Net Zero, especially given some of the questions that followed. I thank my Committee colleagues for their diligence and proactive engagement throughout the inquiry, which has enabled us to produce a detailed report in a challenging timescale.</w:t>
      </w:r>
    </w:p>
    <w:p>
      <w:r>
        <w:rPr>
          <w:sz w:val="22"/>
        </w:rPr>
        <w:t>The Secretary of State, in his statement just now, addressed some of the concerns that we raised in our report about planning and the part it plays in ensuring that infrastructure is built, as he said,</w:t>
      </w:r>
    </w:p>
    <w:p>
      <w:r>
        <w:rPr>
          <w:sz w:val="22"/>
        </w:rPr>
        <w:t>“in the right places, so that we can effectively provide power where it is required.”</w:t>
      </w:r>
    </w:p>
    <w:p>
      <w:r>
        <w:rPr>
          <w:sz w:val="22"/>
        </w:rPr>
        <w:t>and at a cost that is affordable for domestic and business consumers. His focus on the serious problem of high energy prices for businesses is very welcome. The Committee has taken evidence on that, most recently yesterday when the Chemical Industries Association referred to a crisis in the UK’s industry caused by uncompetitive energy prices.</w:t>
      </w:r>
    </w:p>
    <w:p>
      <w:r>
        <w:rPr>
          <w:sz w:val="22"/>
        </w:rPr>
        <w:t>In our report, we considered the role of the strategic spatial energy plan. The Secretary of State told the House just now that it will be published next year. Again, we welcome that—it was recommendation in our report—but we want much greater clarity on both how the clean power 2030 action plan and the SSEP relate to grid connections and the development consent process. We found evidence of significant confusion over the role that grid connections have in determining securing planning consent and, similarly, the role that having planning consent can play in securing a grid connection. I was pleased to hear the Secretary of State make his commitment to the publication of the SSEP, but I encourage him to do so sooner rather than later.</w:t>
      </w:r>
    </w:p>
    <w:p>
      <w:r>
        <w:rPr>
          <w:sz w:val="22"/>
        </w:rPr>
        <w:t>In the 1950s and 1960s, the country made substantial investment in a super grid, a secure and modern energy infrastructure designed to meet the country’s growing energy needs. It was designed to give us 30 years of resilience. In the 1980s, the grid was already coming under strain and was in need of continued investment, so what did the Government do? They privatised it. Sir Malcolm Rifkind provided the rationale. He said that the energy industry</w:t>
      </w:r>
    </w:p>
    <w:p>
      <w:r>
        <w:rPr>
          <w:sz w:val="22"/>
        </w:rPr>
        <w:t>“should be able to make its own investment decisions based on its investment needs and on the resources that it can raise in order to fund that investment.” —[ Official Report , 13 December 1988; Vol. 143, c. 790.]</w:t>
      </w:r>
    </w:p>
    <w:p>
      <w:r>
        <w:rPr>
          <w:sz w:val="22"/>
        </w:rPr>
        <w:t>Unshackled from the state, our energy infrastructure was expected to attract its own investment, but for our vital grid infrastructure the promised private funding just did not materialise.</w:t>
      </w:r>
    </w:p>
    <w:p>
      <w:r>
        <w:rPr>
          <w:sz w:val="22"/>
        </w:rPr>
        <w:t>At the time, a rising star of the Labour party, the then shadow Energy Secretary—some people may have heard of him—Tony Blair, challenged the market-led approach to energy infrastructure. He told this House:</w:t>
      </w:r>
    </w:p>
    <w:p>
      <w:r>
        <w:rPr>
          <w:sz w:val="22"/>
        </w:rPr>
        <w:t>“even when the industry is privately owned abroad, in most countries major strategic decisions are taken by Governments, not companies.” —[ Official Report , 12 December 1988; Vol. 143, c. 680.]</w:t>
      </w:r>
    </w:p>
    <w:p>
      <w:r>
        <w:rPr>
          <w:sz w:val="22"/>
        </w:rPr>
        <w:t>He went on to say:</w:t>
      </w:r>
    </w:p>
    <w:p>
      <w:r>
        <w:rPr>
          <w:sz w:val="22"/>
        </w:rPr>
        <w:t>“All those unresolved contradictions underline the stupidity, indeed the impossibility, of an energy policy determined by the interests of the private sector. The very considerations most critical to securing the long-term future electrical supply are the very ones least suited to the inevitable short-term demands of the market.” —[ Official Report , 12 December 1988; Vol. 143, c. 687.]</w:t>
      </w:r>
    </w:p>
    <w:p>
      <w:r>
        <w:rPr>
          <w:sz w:val="22"/>
        </w:rPr>
        <w:t>The then future Prime Minister’s predictions were sadly all too accurate.</w:t>
      </w:r>
    </w:p>
    <w:p>
      <w:r>
        <w:rPr>
          <w:sz w:val="22"/>
        </w:rPr>
        <w:t>Today, whether we pursue renewables, nuclear or internationally traded gas, the reality remains the same: we urgently require overdue upgrades to our ageing energy network. The strategic direction of this Government is clear: to build and deliver the energy infrastructure that will cut carbon emissions, secure our energy supply in the face of serious and growing international threats, and reduce energy costs for households and businesses over the long term. If we get that right, the UK has the opportunity to become a global leader not only in developing and deploying low-carbon infrastructure, but in how we manage the transition itself.</w:t>
      </w:r>
    </w:p>
    <w:p>
      <w:r>
        <w:rPr>
          <w:sz w:val="22"/>
        </w:rPr>
        <w:t>Energy security is the top priority for this Government, as it is for my Committee, of course. We want Britain to stand on its own two feet, producing energy on our land, on our shores and in our seas, and by our own workers, giving us the opportunity to seize back control of household bills. Political consent and public support for the energy transition are essential, because Britain’s national security depends on it. The Government have set ambitious targets for the UK’s transition to clean energy, underpinned by both international commitments and domestic legal obligations, but real progress will depend not on high-level debates about ideology or party politics, but on whether we can construct the low-carbon generation and transmission infrastructure needed to meet those goals in practice.</w:t>
      </w:r>
    </w:p>
    <w:p>
      <w:r>
        <w:rPr>
          <w:sz w:val="22"/>
        </w:rPr>
        <w:t>That is where the policy statements come in. They provide essential planning guidance for local and national authorities on how to evaluate proposed energy infrastructure, and how such proposals interact with wider strategies and land use plans. We called our report “Gridlock or growth” because the choice is stark. If we get the transition right, the UK can benefit from clean, cheap renewable energy, cutting bills, boosting business and supporting the growth needed to fund better healthcare, education and pensions. But the current system for prioritising grid connections has become severely congested. Too many speculative projects with little chance of being built are clogging up the queue, delaying or blocking more viable ones. The system has effectively seized up.</w:t>
      </w:r>
    </w:p>
    <w:p>
      <w:r>
        <w:rPr>
          <w:sz w:val="22"/>
        </w:rPr>
        <w:t>One of our clearest findings is the need for common-sense reform. The Government are right to propose moving away from a purely market-driven system, because that system, left unchecked, has led directly to the current gridlock. Planning authorities cannot remain blind to a project’s chances of securing a grid connection. A project’s prospects of grid connection should become a “material consideration” in the consent process. It is sensible at this time to have a guiding hand prioritising those projects most likely to deliver the energy generation we need, and to build the necessary transmission infrastructure to get that energy to businesses and households across the country.</w:t>
      </w:r>
    </w:p>
    <w:p>
      <w:r>
        <w:rPr>
          <w:sz w:val="22"/>
        </w:rPr>
        <w:t>Of course, none of that will work without proper planning consent. That, in turn, depends on meaningful engagement between developers and communities; engagement that happens early and is focused on resolving issues before they become entrenched. That is a key part of how we avoid the lengthy and expensive legal challenges that have held the British energy sector back. Too often, new solar or wind farms, and the pylons needed to carry energy to homes and businesses, become flashpoints of local opposition. Communities are frequently consulted too late to shape the outcome, or not given real insight into the trade-offs involved. We heard that when people are told that underground or offshore options may cost more and lead to higher bills, they are often more open to overland options.</w:t>
      </w:r>
    </w:p>
    <w:p>
      <w:r>
        <w:rPr>
          <w:sz w:val="22"/>
        </w:rPr>
        <w:t>Similarly, the Committee recommends that nature-positive infrastructure projects can engage and better galvanise public consent for development, and that there should be a presumption against building onshore wind infrastructure on deep peat. The Committee recommends that the National Energy System Operator should use strategic planning to foster earlier, deeper community engagement well before the formal consent stage, and that the Government require developers to engage early and meaningfully with local communities to identify potential impacts, explore mitigation options and commit to delivering them. We also heard that a significant proportion of proposed mitigations, despite having funding allocated, are never actually delivered. The failure of the system to enforce the measures erodes public trust in the process. The result of poor consultation is that nobody is satisfied: communities feel ignored, developers face avoidable delays and legal costs, planners and courts are burdened unnecessarily, and confidence in the system is undermined.</w:t>
      </w:r>
    </w:p>
    <w:p>
      <w:r>
        <w:rPr>
          <w:sz w:val="22"/>
        </w:rPr>
        <w:t>The principles are simple: put the right projects in place through direction from the centre; secure consent and mitigations by building trust in the system, early engagement and proper enforcement; and build the infrastructure. The clean power plan and—soon please—the SSEP set the priorities. We have the investment and innovation potential supported by the industrial strategy. Lower bills, greater security and sustainability of energy supply are there for the taking. Let us take them and go from current gridlock to growth. I commend this statement to the House.</w:t>
      </w:r>
    </w:p>
    <w:p/>
    <w:p>
      <w:r>
        <w:rPr>
          <w:b/>
          <w:color w:val="1A4A6E"/>
          <w:sz w:val="22"/>
        </w:rPr>
        <w:t>Wera Hobhouse (LD)</w:t>
      </w:r>
    </w:p>
    <w:p>
      <w:r>
        <w:rPr>
          <w:sz w:val="22"/>
        </w:rPr>
        <w:t>We have just heard how important it is that we get community support for infrastructure. The Committee supports the presumption of consent for low-carbon infrastructure with critical national priority status. However, the Committee sets out in the report serious concerns about the potential impact on biodiversity and the lack of delivery on promised ecological mitigations. Does the hon. Gentleman agree that it is essential for Parliament to hold the Government to account on ensuring that the energy transition is delivered in a genuinely nature-positive way?</w:t>
      </w:r>
    </w:p>
    <w:p/>
    <w:p>
      <w:r>
        <w:rPr>
          <w:b/>
          <w:color w:val="1A4A6E"/>
          <w:sz w:val="22"/>
        </w:rPr>
        <w:t>Bill Esterson</w:t>
      </w:r>
    </w:p>
    <w:p>
      <w:r>
        <w:rPr>
          <w:sz w:val="22"/>
        </w:rPr>
        <w:t>I thank the hon. Lady for her question and for her service on the Committee—her contribution is always valuable in our discussions and in the questions we put to our witnesses. She rightly raises nature mitigations, which we looked at in our inquiry. As I mentioned in my statement, we heard that all too often developers do not implement the mitigations that they are required to make. It is very important—this is one of our recommendations to Government, as she implies—to ensure that developers carry out their obligations and implement the improvements that she refers to.</w:t>
      </w:r>
    </w:p>
    <w:p/>
    <w:p>
      <w:r>
        <w:rPr>
          <w:b/>
          <w:color w:val="1A4A6E"/>
          <w:sz w:val="22"/>
        </w:rPr>
        <w:t>Mike Reader (Lab)</w:t>
      </w:r>
    </w:p>
    <w:p>
      <w:r>
        <w:rPr>
          <w:sz w:val="22"/>
        </w:rPr>
        <w:t>I thank the Chair of the Select Committee for leading us through the report. It is right that sometimes Select Committees pose more of a challenge to Government. In this case, I think it is right to call out that, while the Department is doing great things and working at pace, we need to ensure that everything is joined up and co-ordinated. The national policy statements, the land-use framework, the new SSEP, strategies and plans need to be joined up to ensure that nature-positive and nature-based solutions and environmental protections are also joined up. Does the Chair agree with me that the Department needs to worker harder to ensure that, while we deliver at pace, everything gives one coherent message to the market?</w:t>
      </w:r>
    </w:p>
    <w:p/>
    <w:p>
      <w:r>
        <w:rPr>
          <w:b/>
          <w:color w:val="1A4A6E"/>
          <w:sz w:val="22"/>
        </w:rPr>
        <w:t>Bill Esterson</w:t>
      </w:r>
    </w:p>
    <w:p>
      <w:r>
        <w:rPr>
          <w:sz w:val="22"/>
        </w:rPr>
        <w:t>I am also very grateful to my hon. Friend for his contribution. He joined the Committee recently and has grabbed the agenda with both hands, as one of our most assiduous attenders. I think he and the hon. Member for Bath (Wera Hobhouse) match each other on attendance, actually—I do not want to give the wrong impression. He is correct: we need the Government to engage with our recommendations on enforcement of nature-positive solutions. He gives me an opportunity to reiterate that there is confusion on whether the need for planning consent precedes grid connection or the other way around. I think we could do with the Government clearing up some of those things.</w:t>
      </w:r>
    </w:p>
    <w:p/>
    <w:p>
      <w:r>
        <w:rPr>
          <w:b/>
          <w:color w:val="1A4A6E"/>
          <w:sz w:val="22"/>
        </w:rPr>
        <w:t>Sir Edward Leigh (Con)</w:t>
      </w:r>
    </w:p>
    <w:p>
      <w:r>
        <w:rPr>
          <w:sz w:val="22"/>
        </w:rPr>
        <w:t>We are all in favour of green energy in Lincolnshire, and we do our bit with massive wind turbines in the North sea, but will the Committee do a more in-depth report about the sheer concentration of solar farms in Lincolnshire, with 10,000 acres around the town of Gainsborough? I know that the grid connection is important, but surely the Committee could play a useful role in saying that all parts of the country should do their bit. We cannot simply take 10,000 acres out of good agricultural production in one small part of England.</w:t>
      </w:r>
    </w:p>
    <w:p/>
    <w:p>
      <w:r>
        <w:rPr>
          <w:b/>
          <w:color w:val="1A4A6E"/>
          <w:sz w:val="22"/>
        </w:rPr>
        <w:t>Bill Esterson</w:t>
      </w:r>
    </w:p>
    <w:p>
      <w:r>
        <w:rPr>
          <w:sz w:val="22"/>
        </w:rPr>
        <w:t>That is something that we have looked at as part of this inquiry and more widely. It is really important that those who host major energy infrastructure are taken on board. We made recommendations about early engagement, and about listening to rather than ignoring what local communities say about the potential for re-routing sites or routes for pylons. The right hon. Gentleman talks about solar farms, but are there other options? There is good evidence that when engagement is done in the correct way, compromise is often possible. Although not everybody will ever be happy in consultation, there are definitely better ways for these things to be done.</w:t>
      </w:r>
    </w:p>
    <w:p/>
    <w:p>
      <w:r>
        <w:rPr>
          <w:b/>
          <w:color w:val="1A4A6E"/>
          <w:sz w:val="22"/>
        </w:rPr>
        <w:t>Rachel Taylor (Lab)</w:t>
      </w:r>
    </w:p>
    <w:p>
      <w:r>
        <w:rPr>
          <w:sz w:val="22"/>
        </w:rPr>
        <w:t>I commend the Committee and my hon. Friend for their work. The report echoes what National Grid told me when I visited its operation in Hams Hall in my constituency. Does he agree that the Government’s work on the Planning and Infrastructure Bill has paved the way for infrastructure projects to be delivered more quickly, and that businesses such as Jaguar Land Rover, whose battery assembly plant is in Hams Hall, will welcome his Committee’s work and the Government’s efforts on delivering vital infrastructure?</w:t>
      </w:r>
    </w:p>
    <w:p/>
    <w:p>
      <w:r>
        <w:rPr>
          <w:b/>
          <w:color w:val="1A4A6E"/>
          <w:sz w:val="22"/>
        </w:rPr>
        <w:t>Bill Esterson</w:t>
      </w:r>
    </w:p>
    <w:p>
      <w:r>
        <w:rPr>
          <w:sz w:val="22"/>
        </w:rPr>
        <w:t>My hon. Friend makes an excellent point. There is a good crossover between the Planning and Infrastructure Bill going through Parliament and the amendments made to the national policy statement. Our recommendations pick up some of the linkages between the two, as she suggests. The key point is how we speed up the process so that we can get to my final point, which is to get on and build the infrastructure, as she says.</w:t>
      </w:r>
    </w:p>
    <w:p/>
    <w:p>
      <w:r>
        <w:rPr>
          <w:b/>
          <w:color w:val="1A4A6E"/>
          <w:sz w:val="22"/>
        </w:rPr>
        <w:t>Claire Young (LD)</w:t>
      </w:r>
    </w:p>
    <w:p>
      <w:r>
        <w:rPr>
          <w:sz w:val="22"/>
        </w:rPr>
        <w:t>The report highlights an ambiguity about what is said centrally by the Government and what is expected from industry. Separately from this report, the Select Committee has heard evidence on tidal range power generation from the Severn and, during visits, about innovative approaches. Does the Chair of the Select Committee share my concern that the confusion caused by that ambiguity could lead to the UK missing out on opportunities to be a world leader in alternative types of generation, and does he agree the situation must be clarified?</w:t>
      </w:r>
    </w:p>
    <w:p/>
    <w:p>
      <w:r>
        <w:rPr>
          <w:b/>
          <w:color w:val="1A4A6E"/>
          <w:sz w:val="22"/>
        </w:rPr>
        <w:t>Bill Esterson</w:t>
      </w:r>
    </w:p>
    <w:p>
      <w:r>
        <w:rPr>
          <w:sz w:val="22"/>
        </w:rPr>
        <w:t>I am also grateful to the hon. Lady for her contribution since the start of the Committee—she is another assiduous attender. She makes absolutely the right point. Where we have identified areas of ambiguity—there are many around grid connection and planning, which I have touched on before—the Government need to clear them up, so that decisions can be made in a timely fashion, developers can have the confidence and certainty that they need, and we can get on with the process of improving the infrastructure, the grid capacity connection and the supply of cheap clean energy.</w:t>
      </w:r>
    </w:p>
    <w:p/>
    <w:p>
      <w:r>
        <w:rPr>
          <w:b/>
          <w:color w:val="1A4A6E"/>
          <w:sz w:val="22"/>
        </w:rPr>
        <w:t>Jenny Riddell-Carpenter (Lab)</w:t>
      </w:r>
    </w:p>
    <w:p>
      <w:r>
        <w:rPr>
          <w:sz w:val="22"/>
        </w:rPr>
        <w:t>I thank the Chair of the Select Committee for his incredibly thorough and interesting report, which I look forward to reading. Will he comment on an amendment that I tabled to the Planning and Infrastructure Bill? It is often said that Suffolk Coastal may be hosting up to 20% of the UK’s future energy or transporting that future energy. We have four nationally significant infrastructure projects within a five-mile radius, and there has been no co-ordination between the energy developers for the planning and development of those projects. My amendment would have legally required such co-ordination when energy developers bring forward their plans, so that we can manage mitigations, look at the issues, and better plan and develop out when large NSIPs are being developed.</w:t>
      </w:r>
    </w:p>
    <w:p/>
    <w:p>
      <w:r>
        <w:rPr>
          <w:b/>
          <w:color w:val="1A4A6E"/>
          <w:sz w:val="22"/>
        </w:rPr>
        <w:t>Bill Esterson</w:t>
      </w:r>
    </w:p>
    <w:p>
      <w:r>
        <w:rPr>
          <w:sz w:val="22"/>
        </w:rPr>
        <w:t>It is important that we have proper co-ordination between developers and different projects, which we also touched on in our report. The national policy statement is the strategically important element of planning, so it is very much relevant to my hon. Friend’s point. I think she will find that some of the comments and evidence that we heard in our inquiry lend themselves to the point she just made.</w:t>
      </w:r>
    </w:p>
    <w:p/>
    <w:p>
      <w:r>
        <w:rPr>
          <w:b/>
          <w:color w:val="1A4A6E"/>
          <w:sz w:val="22"/>
        </w:rPr>
        <w:t>James Wild (Con)</w:t>
      </w:r>
    </w:p>
    <w:p>
      <w:r>
        <w:rPr>
          <w:sz w:val="22"/>
        </w:rPr>
        <w:t>There are plans for major solar farms, substations and other infrastructure in North West Norfolk and across the county, taking high-quality agricultural land out of use. The cumulative impact of that is being ignored. I welcome the Committee’s recommendation on solar. Does the hon. Gentleman agree that the planning system should ensure that energy infrastructure is built on developed land, brownfield land and industrial land, not on best-quality agricultural land? Why does he think that the Government have so far failed to prioritise energy security in the national policy statements?</w:t>
      </w:r>
    </w:p>
    <w:p/>
    <w:p>
      <w:r>
        <w:rPr>
          <w:b/>
          <w:color w:val="1A4A6E"/>
          <w:sz w:val="22"/>
        </w:rPr>
        <w:t>Bill Esterson</w:t>
      </w:r>
    </w:p>
    <w:p>
      <w:r>
        <w:rPr>
          <w:sz w:val="22"/>
        </w:rPr>
        <w:t>I think most of that question is probably better answered by Ministers, but as to what we found in our evidence, it is very much the case that we have to work with local communities to address their concerns about having to host significant amounts of infrastructure, as in the hon. Gentleman’s community. The point about putting solar or wind farms on brownfield land is a good one. I do not think anybody is against that, and I think that that is part of what the Government intend. The point is that there are occasions when that is not possible, but the key is to engage with people and take them with us by demonstrating the case for where infrastructure must go.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