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Social Care</w:t>
      </w:r>
    </w:p>
    <w:p>
      <w:r>
        <w:rPr>
          <w:sz w:val="20"/>
        </w:rPr>
        <w:t>10 July 2025  ·  Commons  ·  Ministerial Statement</w:t>
      </w:r>
    </w:p>
    <w:p>
      <w:r>
        <w:rPr>
          <w:b/>
        </w:rPr>
        <w:t xml:space="preserve">Policy areas: </w:t>
      </w:r>
      <w:r>
        <w:rPr>
          <w:sz w:val="20"/>
        </w:rPr>
        <w:t>Children and families, Education, training and skills, Government and public administration, Welfare and benefits</w:t>
      </w:r>
    </w:p>
    <w:p>
      <w:r>
        <w:rPr>
          <w:b/>
        </w:rPr>
        <w:t xml:space="preserve">Topics: </w:t>
      </w:r>
      <w:r>
        <w:rPr>
          <w:sz w:val="20"/>
        </w:rPr>
        <w:t>child poverty strategy, children's social care, early intervention services, looked-after children, social care funding</w:t>
      </w:r>
    </w:p>
    <w:p>
      <w:r>
        <w:rPr>
          <w:b/>
        </w:rPr>
        <w:t xml:space="preserve">Source: </w:t>
      </w:r>
      <w:r>
        <w:rPr>
          <w:sz w:val="20"/>
        </w:rPr>
        <w:t>https://hansard.parliament.uk/Commons/2025-07-10/debates/36B840DD-5274-4944-98A5-DDEE8AD452EB/ChildrensSocialCare</w:t>
      </w:r>
    </w:p>
    <w:p/>
    <w:p>
      <w:r>
        <w:rPr>
          <w:b/>
          <w:color w:val="1A4A6E"/>
          <w:sz w:val="22"/>
        </w:rPr>
        <w:t>Madam Deputy Speaker</w:t>
      </w:r>
    </w:p>
    <w:p>
      <w:r>
        <w:rPr>
          <w:sz w:val="22"/>
        </w:rPr>
        <w:t>We come now to the second Select Committee statement. Helen Hayes will speak for up to 10 minutes, during which time no interventions may be taken. At the conclusion of her statement, I will call Members to ask questions on the subject of the statement. There should be brief questions, not full speeches. I emphasise that questions should be directed to the Select Committee Chair, not the relevant Minister. Front Benchers may take part in questioning.</w:t>
      </w:r>
    </w:p>
    <w:p/>
    <w:p>
      <w:r>
        <w:rPr>
          <w:b/>
          <w:color w:val="1A4A6E"/>
          <w:sz w:val="22"/>
        </w:rPr>
        <w:t>Helen Hayes (Lab)</w:t>
      </w:r>
    </w:p>
    <w:p>
      <w:r>
        <w:rPr>
          <w:sz w:val="22"/>
        </w:rPr>
        <w:t>I am grateful to the Backbench Business Committee for allocating time for this statement. Today I speak on behalf of the Education Committee and, more importantly, the thousands of children across England whose lives are profoundly shaped by our children’s social care system.</w:t>
      </w:r>
    </w:p>
    <w:p>
      <w:r>
        <w:rPr>
          <w:sz w:val="22"/>
        </w:rPr>
        <w:t>I put on record my thanks to the Committee Clerks and specialists, who have supported this inquiry, as well as to Georgia, Jake, Lamar and Louise, the four young adults with recent experience of the care system who came to give oral evidence to the Committee in person. I know that it was not easy to speak about the challenges that they have faced, including experiences that no child should ever have to endure, but by doing so they have helped to shape our report and ensure that young people have been at the centre of our thinking. We are very grateful.</w:t>
      </w:r>
    </w:p>
    <w:p>
      <w:r>
        <w:rPr>
          <w:sz w:val="22"/>
        </w:rPr>
        <w:t>Children’s social care provides essential support to some of our most vulnerable young people—children who have faced trauma, neglect, abuse, bereavement or instability. They need not only protection but love, stability and the opportunity to thrive. In December 2023, our predecessor Committee launched an inquiry into the state of children’s social care. Following the general election, my Committee resolved to continue that critical work. Our inquiry builds on substantial evidence, including the independent review of children’s social care, published in 2022, which concluded that the system was failing to meet children’s needs. The evidence we have received from care-experienced young people, social workers, local authorities, charities and academics confirms that many of these challenges persist.</w:t>
      </w:r>
    </w:p>
    <w:p>
      <w:r>
        <w:rPr>
          <w:sz w:val="22"/>
        </w:rPr>
        <w:t>The system is under significant strain. Rising need, stretched budgets and workforce shortages are compromising the ability to put children genuinely at the heart of the system. We have seen a significant shift in the profile of spending on children’s social care, from spend on early help services, which has fallen 31% in real terms over the last decade, to spend on costly crisis interventions, which has rocketed. This imbalance is unsustainable. The 2022 independent review proposed a £2.6 billion uplift in children’s social care spending between 2023 and 2027, with £1 billion annually ringfenced for family help services, to shift focus toward early intervention. That recommendation has not been fully implemented.</w:t>
      </w:r>
    </w:p>
    <w:p>
      <w:r>
        <w:rPr>
          <w:sz w:val="22"/>
        </w:rPr>
        <w:t>There has been rising need for children’s social care over the past decade, with the number of looked-after children standing at almost 84,000 in 2024—an increase of over 20% since 2014. These pressures reflect broader social and economic challenges. Poverty is a key driver of social care involvement, and the forthcoming child poverty strategy must be ambitious, aiming to significantly reduce the number of children growing up in financial hardship. We urge the Government to allocate a substantial portion of new funding from the spending review to restore early intervention services to 2010 levels in real terms. Prevention is not only the right thing to do by children and their families; it is also more cost-effective.</w:t>
      </w:r>
    </w:p>
    <w:p>
      <w:r>
        <w:rPr>
          <w:sz w:val="22"/>
        </w:rPr>
        <w:t>The shortage of appropriate placements for looked-after children is a critical issue. In 2024, 45% of looked-after children were placed outside their local authority, and 22% were placed more than 20 miles from home, disrupting education and relationships and exacerbating trauma. We call on the Department for Education to publish a national sufficiency strategy for children’s social care, requiring every local authority to develop plans to reduce out-of-area placements and demonstrate how they are implementing best practice. Not every local authority sends children far away from home, and we believe more can be done to reduce this harmful practice.</w:t>
      </w:r>
    </w:p>
    <w:p>
      <w:r>
        <w:rPr>
          <w:sz w:val="22"/>
        </w:rPr>
        <w:t>The children’s social care market is failing to deliver for children and local authorities. The excessive profits of some providers are unacceptable, and reports of financial instability among some large operators are deeply concerning. The Children’s Wellbeing and Schools Bill includes provisions to reform this market, which we welcome. However, these measures must be rigorously monitored. The Department should provide annual updates to Parliament on their impact, and if a profit cap is introduced, my Committee must be consulted on draft regulations.</w:t>
      </w:r>
    </w:p>
    <w:p>
      <w:r>
        <w:rPr>
          <w:sz w:val="22"/>
        </w:rPr>
        <w:t>Our inquiry examined all forms of children’s social care: foster care, adoption, kinship care, residential care and support for disabled children. Within foster care—the most common placement type—there is a shortage of approximately 6,500 carers. We urge the Department to develop a national fostering strategy. Simply continuing to advertise for more foster carers will not be sufficient, and work is needed to address some of the practical barriers that prevent foster carers from being able to sign up once they show an interest in doing so. In particular, we are calling for collaboration with the Ministry of Housing, Communities and Local Government to ensure that housing policy properly supports foster carer recruitment.</w:t>
      </w:r>
    </w:p>
    <w:p>
      <w:r>
        <w:rPr>
          <w:sz w:val="22"/>
        </w:rPr>
        <w:t>Kinship care is a vital option for many children. The forthcoming kinship allowance pilot must provide financial support equivalent to that of foster carers, and we call for legislation to guarantee kinship leave entitlements. For adopted children, the adoption and special guardianship support fund must be made permanent to eliminate annual funding uncertainty.</w:t>
      </w:r>
    </w:p>
    <w:p>
      <w:r>
        <w:rPr>
          <w:sz w:val="22"/>
        </w:rPr>
        <w:t>While we support the emphasis on kinship and foster care, high-quality residential care remains essential for some children. Reports of children placed in unsuitable settings such as caravans and boats are completely unacceptable—the opposite of a child-centred approach. The new regulation and inspection regime for supported accommodation is a positive step, but universal care standards must apply across all placements.</w:t>
      </w:r>
    </w:p>
    <w:p>
      <w:r>
        <w:rPr>
          <w:sz w:val="22"/>
        </w:rPr>
        <w:t>The social care workforce is in crisis, with high turnover and overstretched staff increasing safeguarding risks. We call for a comprehensive workforce strategy to improve retention and reduce reliance on agency staff, which increased by 38% over the five years to 2022.</w:t>
      </w:r>
    </w:p>
    <w:p>
      <w:r>
        <w:rPr>
          <w:sz w:val="22"/>
        </w:rPr>
        <w:t>Disabled children face significant barriers, including limited access to respite care and inconsistent assessments. We heard that support for disabled children is often deprioritised as social services focus on child protection concerns, and that sometimes parents of disabled children are treated with suspicion and subjected to inappropriate assessments without justification when they need support. We urge the Department to implement the Law Commission’s proposals and establish clear national eligibility criteria.</w:t>
      </w:r>
    </w:p>
    <w:p>
      <w:r>
        <w:rPr>
          <w:sz w:val="22"/>
        </w:rPr>
        <w:t>Mental health support is another critical gap. Children in care are four times more likely to experience mental health challenges, yet access to services remains inadequate. We recommend piloting co-located mental health services between social care and child and adolescent mental health services, and strengthening mental health assessments for children in care.</w:t>
      </w:r>
    </w:p>
    <w:p>
      <w:r>
        <w:rPr>
          <w:sz w:val="22"/>
        </w:rPr>
        <w:t>It is essential that children in care have a voice when important decisions are being made about their lives. Currently, too few children are accessing the advocacy support they are entitled to, with an average referral rate of just 5% across local authorities. We endorse the independent review’s proposal for an opt-out model of independent advocacy for all children in care, to ensure their voices are heard.</w:t>
      </w:r>
    </w:p>
    <w:p>
      <w:r>
        <w:rPr>
          <w:sz w:val="22"/>
        </w:rPr>
        <w:t>Reunification with birth families, when safe and appropriate, can be a positive outcome for children and parents. However, current practice is inconsistent. The Department must evaluate reunification practices and publish national guidance to ensure it is prioritised when suitable and in the best interests of the child.</w:t>
      </w:r>
    </w:p>
    <w:p>
      <w:r>
        <w:rPr>
          <w:sz w:val="22"/>
        </w:rPr>
        <w:t>There were 49,000 children on child protection plans in 2024—an increase of 1,600 from 2014. Neglect remains a significant concern, and we call for a national survey on the prevalence of abuse and neglect and a dedicated national neglect strategy.</w:t>
      </w:r>
    </w:p>
    <w:p>
      <w:r>
        <w:rPr>
          <w:sz w:val="22"/>
        </w:rPr>
        <w:t>Finally, and most concerningly, support for young people when they leave care is simply not good enough. Care leavers have some of the poorest outcomes in society across a range of measures: 39% of care leavers aged 19 to 21 are not in education, training or employment, compared with 13% of all young people in that age group, and it is estimated that a quarter of homeless people have been in care. Care leavers still face a cliff edge in support on turning 18. We heard from young people who had to drop A-levels and struggled to afford rent while in full-time education at the age of just 18. The Department for Education must develop a national care offer to ensure minimum standards of support across the country and review and improve the financial and housing support available to care leavers.</w:t>
      </w:r>
    </w:p>
    <w:p>
      <w:r>
        <w:rPr>
          <w:sz w:val="22"/>
        </w:rPr>
        <w:t>Our children deserve a compassionate, coherent and effective social care system that places their needs at the centre. Behind every statistic is a child who deserves the same opportunities as their peers to feel safe, loved and empowered to thrive. The recommendations in my Committee’s report provide a road map for reform. We urge the Government to act swiftly in addressing rising need, restore early intervention, reform the delivery of care placements, ensure better mental health services, support the workforce and stop care leavers facing a cliff edge at the age of 18. We owe it to these children to build a system that is not merely reactive but restorative, not just efficient but compassionate, and not only functional but transformational.</w:t>
      </w:r>
    </w:p>
    <w:p/>
    <w:p>
      <w:r>
        <w:rPr>
          <w:b/>
          <w:color w:val="1A4A6E"/>
          <w:sz w:val="22"/>
        </w:rPr>
        <w:t>Munira Wilson (LD)</w:t>
      </w:r>
    </w:p>
    <w:p>
      <w:r>
        <w:rPr>
          <w:sz w:val="22"/>
        </w:rPr>
        <w:t>I congratulate the Chair of the Select Committee on this report and thank her and the Committee for their work on it. I particularly welcome the recommendations on kinship care, which mirror closely the measures in the ten-minute rule Bill that I introduced in this place three years ago and which we on the Liberal Democrat Benches have been campaigning on. I hope she will work cross-party to make sure the Government go further and faster on kinship care.</w:t>
      </w:r>
    </w:p>
    <w:p>
      <w:r>
        <w:rPr>
          <w:sz w:val="22"/>
        </w:rPr>
        <w:t>I want to pick up on the Committee’s recommendations on the adoption and special guardianship support fund. She and I know how distressed the families of children who have been adopted or put into kinship care who need this support are. It is a very small amount of money—does she agree that if the fund could be expanded slightly, all children could go back to having the level of support they had before the cuts were introduced a few months ago?</w:t>
      </w:r>
    </w:p>
    <w:p/>
    <w:p>
      <w:r>
        <w:rPr>
          <w:b/>
          <w:color w:val="1A4A6E"/>
          <w:sz w:val="22"/>
        </w:rPr>
        <w:t>Helen Hayes</w:t>
      </w:r>
    </w:p>
    <w:p>
      <w:r>
        <w:rPr>
          <w:sz w:val="22"/>
        </w:rPr>
        <w:t>I thank the hon. Member for her question and for all her interest and work in this important area. The report makes strong recommendations for the Government to make the adoption and special guardianship support fund permanent, to evaluate the impact of the cut in the short term, and to review and make changes to the level of funding if necessary. We know that the Government are looking at changes and improvements, particularly in access to mental health services, so that more children who are adopted can get support through mainstream health services without having to rely on specialist funding as a supplement for that. We think the Government should look carefully at how that goes but not be hesitant to restore the fund if that is needed following monitoring.</w:t>
      </w:r>
    </w:p>
    <w:p/>
    <w:p>
      <w:r>
        <w:rPr>
          <w:b/>
          <w:color w:val="1A4A6E"/>
          <w:sz w:val="22"/>
        </w:rPr>
        <w:t>Mark Sewards (Lab)</w:t>
      </w:r>
    </w:p>
    <w:p>
      <w:r>
        <w:rPr>
          <w:sz w:val="22"/>
        </w:rPr>
        <w:t>I am pleased to have contributed to this report as a member of the Education Committee, which is excellently led by my hon. Friend the Member for Dulwich and West Norwood (Helen Hayes). I also thank the Clerks and staff for all their work on the Committee. It is good that the report has been welcomed by the Centre for Young Lives, the County Councils Network, as well as care leavers charities such as Become.</w:t>
      </w:r>
    </w:p>
    <w:p>
      <w:r>
        <w:rPr>
          <w:sz w:val="22"/>
        </w:rPr>
        <w:t>Will my hon. Friend expand on the section of the report about keeping children safe? Evidence that we heard from our witnesses during the inquiry suggested that the Children’s Wellbeing and Schools Bill was going to do a lot to address their concerns about keeping children in care safe. Despite that, we have still made recommendations about multi-agency working. We have recommended that those agencies have clear processes in place, so that they can review and escalate concerns between different agencies, with a clear line of accountability and decision making to keep children safe and stop them falling through the gaps. Does my hon. Friend agree that it should be a priority for the Department to get those processes in place to prevent those children from falling through the gaps?</w:t>
      </w:r>
    </w:p>
    <w:p/>
    <w:p>
      <w:r>
        <w:rPr>
          <w:b/>
          <w:color w:val="1A4A6E"/>
          <w:sz w:val="22"/>
        </w:rPr>
        <w:t>Helen Hayes</w:t>
      </w:r>
    </w:p>
    <w:p>
      <w:r>
        <w:rPr>
          <w:sz w:val="22"/>
        </w:rPr>
        <w:t>I thank my hon. Friend for his question and his contribution to the Committee’s report. He is right—he will recall the distressing evidence that we took, which came in the short aftermath of the verdict in the case of Sara Sharif, who was so badly let down by services that had multiple opportunities to intervene and keep her safe but failed to do so. We welcome the steps that the Government are taking through the Children’s Wellbeing and Schools Bill to strengthen joint working, particularly through the single child identifier and other measures around multi-agency working practices. We are calling for the Government to go further, though, because none of us can tolerate seeing any more of those tragic cases in the headlines—the names of children who we remember and who were failed by services that should be there to protect them.</w:t>
      </w:r>
    </w:p>
    <w:p/>
    <w:p>
      <w:r>
        <w:rPr>
          <w:b/>
          <w:color w:val="1A4A6E"/>
          <w:sz w:val="22"/>
        </w:rPr>
        <w:t>Sir John Hayes (Con)</w:t>
      </w:r>
    </w:p>
    <w:p>
      <w:r>
        <w:rPr>
          <w:sz w:val="22"/>
        </w:rPr>
        <w:t>I am immensely grateful to the Chair of the Education Committee for the way she has introduced the report and the work she has done. I am particularly moved by what she said about disabled people, and I wonder if she would look at the relationship between that and special needs education as there is a close association between the two. Will she also look at the issue of the quality of parenting? I was at a school in my constituency just a week ago, and I was told that children are presenting to school really very poorly parented as that is related to the subject that the hon. Lady has studied. It is not all children, of course, but too many are suffering in that way.</w:t>
      </w:r>
    </w:p>
    <w:p/>
    <w:p>
      <w:r>
        <w:rPr>
          <w:b/>
          <w:color w:val="1A4A6E"/>
          <w:sz w:val="22"/>
        </w:rPr>
        <w:t>Helen Hayes</w:t>
      </w:r>
    </w:p>
    <w:p>
      <w:r>
        <w:rPr>
          <w:sz w:val="22"/>
        </w:rPr>
        <w:t>I thank the right hon. Gentleman for his question and his interest in this area of work. My Committee is looking separately at the issue of special educational needs and disabilities, and we expect to report shortly on that. It is an expansive and lengthy inquiry. He is, of course, right to say that there is some overlap. In relation to children’s social care, we heard from families with disabled children about the multiple difficulties they face with different parts of a system that is not joined-up enough to support them. His question about parenting speaks directly to our recommendation about the need to shift to early intervention, and help and support. In that vein, I welcome the Government’s announcement this week about Best Start family hubs and the expansion of those services, which I believe are trying to do exactly that. We will keep a close watch on how that goes over the coming months.</w:t>
      </w:r>
    </w:p>
    <w:p/>
    <w:p>
      <w:r>
        <w:rPr>
          <w:b/>
          <w:color w:val="1A4A6E"/>
          <w:sz w:val="22"/>
        </w:rPr>
        <w:t>Jess Asato (Lab)</w:t>
      </w:r>
    </w:p>
    <w:p>
      <w:r>
        <w:rPr>
          <w:sz w:val="22"/>
        </w:rPr>
        <w:t>I thank my hon. Friend for her statement. Like her, I pay tribute to the care leavers who spoke to us, often sharing deeply traumatic stories of their journey through the care system. Their corporate parent is ultimately the state, and we as its custodians must bear the responsibility of ensuring that we support children in care as if they are our own. Does my hon. Friend agree that that is why the Committee’s recommendation that the Government should implement a national care leaver offer is so important, and that doing so would guarantee a consistent approach across local authorities?</w:t>
      </w:r>
    </w:p>
    <w:p/>
    <w:p>
      <w:r>
        <w:rPr>
          <w:b/>
          <w:color w:val="1A4A6E"/>
          <w:sz w:val="22"/>
        </w:rPr>
        <w:t>Helen Hayes</w:t>
      </w:r>
    </w:p>
    <w:p>
      <w:r>
        <w:rPr>
          <w:sz w:val="22"/>
        </w:rPr>
        <w:t>I thank my hon. Friend for her question and for her contribution to the report, drawing on her deep experience in this sector prior to coming to this place. Many of us come to this subject area also as parents. I am the parent of a 19-year-old and a 16-year-old, and found the stories that the Committee heard of children cut adrift by services at the age of 18—when young people are still growing into adulthood and need so much help and support—heartbreaking and unacceptable. We are calling for a national care offer, so that wherever care leavers are in the country, they know there is a guaranteed level of support to help them into the next stages of life.</w:t>
      </w:r>
    </w:p>
    <w:p/>
    <w:p>
      <w:r>
        <w:rPr>
          <w:b/>
          <w:color w:val="1A4A6E"/>
          <w:sz w:val="22"/>
        </w:rPr>
        <w:t>Josh Newbury (Lab)</w:t>
      </w:r>
    </w:p>
    <w:p>
      <w:r>
        <w:rPr>
          <w:sz w:val="22"/>
        </w:rPr>
        <w:t>I very much welcome the report, which I look forward to reading in detail. I thank the Committee for all its work on this important matter, and of course the Chair for introducing its many excellent recommendations so comprehensively. There is a lot to go on, but I wish quickly to touch on two points. I declare an interest as a foster carer and adoptive parent, and I fully endorse the report, which highlights the huge widening gap in foster care provision. The emotional appeal for foster carers is powerful, but as the Committee said, it simply is not enough. Does the Chair agree that properly recognising the effort and complexity involved in fostering placements is urgently needed, most importantly for children in care? On support for care leavers, I have heard from too many who, on reaching 18 or even before then, move out of the council area where they were taken into care, so I also endorse the call for a national care leaver offer.</w:t>
      </w:r>
    </w:p>
    <w:p/>
    <w:p>
      <w:r>
        <w:rPr>
          <w:b/>
          <w:color w:val="1A4A6E"/>
          <w:sz w:val="22"/>
        </w:rPr>
        <w:t>Helen Hayes</w:t>
      </w:r>
    </w:p>
    <w:p>
      <w:r>
        <w:rPr>
          <w:sz w:val="22"/>
        </w:rPr>
        <w:t>I thank my hon. Friend for his question, and for bringing his personal experience to the debate. I agree with him about foster carers. We looked in detail at the issue, and the gap between the numbers of people expressing an interest in foster care, compared with those who sign up and become foster carers, is enormous. We focused our attention on some of the practical barriers that prevent people from becoming foster parents, especially housing. That is particularly the case for foster carers who might be living in social housing. Housing policy does not adequately support people who might want to come forward but do not have enough space at home, when that is often the responsibility of the same local authority that is their landlord. We think that more could be done to overcome the practical barriers that foster carers face.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