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Cumbria Combined Authority Order 2026</w:t>
      </w:r>
    </w:p>
    <w:p>
      <w:r>
        <w:rPr>
          <w:sz w:val="20"/>
        </w:rPr>
        <w:t>10 February 2026  ·  Lords  ·  Committee Stage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administration, Local government</w:t>
      </w:r>
    </w:p>
    <w:p>
      <w:r>
        <w:rPr>
          <w:b/>
        </w:rPr>
        <w:t xml:space="preserve">Topics: </w:t>
      </w:r>
      <w:r>
        <w:rPr>
          <w:sz w:val="20"/>
        </w:rPr>
        <w:t>cumbria combined authority, devolution deals, local government reform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https://hansard.parliament.uk/Lords/2026-02-10/debates/6F5A4F4D-1996-49C7-824D-E2D75987CE1E/CumbriaCombinedAuthorityOrder2026</w:t>
      </w:r>
    </w:p>
    <w:p/>
    <w:p>
      <w:r>
        <w:rPr>
          <w:b/>
          <w:color w:val="1A4A6E"/>
          <w:sz w:val="22"/>
        </w:rPr>
        <w:t>Baroness Taylor of Stevenage</w:t>
      </w:r>
    </w:p>
    <w:p>
      <w:r>
        <w:rPr>
          <w:sz w:val="22"/>
        </w:rPr>
        <w:t>That the Grand Committee do consider the Cumbria Combined Authority Order 2026. Relevant document: 47th Report from the Secondary Legislation Scrutiny Committee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