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10 December 2025  ·  Commons  ·  Oral Questions</w:t>
      </w:r>
    </w:p>
    <w:p>
      <w:r>
        <w:rPr>
          <w:b/>
        </w:rPr>
        <w:t xml:space="preserve">Policy areas: </w:t>
      </w:r>
      <w:r>
        <w:rPr>
          <w:sz w:val="20"/>
        </w:rPr>
        <w:t>Children and families, Crime, justice and law, Health and social care, Society and culture</w:t>
      </w:r>
    </w:p>
    <w:p>
      <w:r>
        <w:rPr>
          <w:b/>
        </w:rPr>
        <w:t xml:space="preserve">Topics: </w:t>
      </w:r>
      <w:r>
        <w:rPr>
          <w:sz w:val="20"/>
        </w:rPr>
        <w:t>autism in children, domestic abuse support, gender dysphoria treatment, nurses' rights, women's safety</w:t>
      </w:r>
    </w:p>
    <w:p>
      <w:r>
        <w:rPr>
          <w:b/>
        </w:rPr>
        <w:t xml:space="preserve">Source: </w:t>
      </w:r>
      <w:r>
        <w:rPr>
          <w:sz w:val="20"/>
        </w:rPr>
        <w:t>https://hansard.parliament.uk/Commons/2025-12-10/debates/A3E83431-C8E5-4884-8FB3-1795903CB9A3/TopicalQuestions</w:t>
      </w:r>
    </w:p>
    <w:p/>
    <w:p>
      <w:r>
        <w:rPr>
          <w:b/>
          <w:color w:val="1A4A6E"/>
          <w:sz w:val="22"/>
        </w:rPr>
        <w:t>Manuela Perteghella (LD)</w:t>
      </w:r>
    </w:p>
    <w:p>
      <w:r>
        <w:rPr>
          <w:sz w:val="22"/>
        </w:rPr>
        <w:t>T1. If she will make a statement on her departmental responsibilities.</w:t>
      </w:r>
    </w:p>
    <w:p/>
    <w:p>
      <w:r>
        <w:rPr>
          <w:b/>
          <w:color w:val="1A4A6E"/>
          <w:sz w:val="22"/>
        </w:rPr>
        <w:t>Bridget Phillipson (The Minister for Women and Equalities)</w:t>
      </w:r>
    </w:p>
    <w:p>
      <w:r>
        <w:rPr>
          <w:sz w:val="22"/>
        </w:rPr>
        <w:t>This Government are reinforcing our commitment to championing the rights of disabled people. This month we celebrate Disability History Month, and we marked the International Day of Persons with Disabilities last week. This year also marks the 30th anniversary of the Disability Discrimination Act 1995. We will continue our work to boost opportunities for disabled people, including by developing our plan for disability, which will outline our priorities for removing barriers faced by disabled people.</w:t>
      </w:r>
    </w:p>
    <w:p/>
    <w:p>
      <w:r>
        <w:rPr>
          <w:b/>
          <w:color w:val="1A4A6E"/>
          <w:sz w:val="22"/>
        </w:rPr>
        <w:t>Manuela Perteghella</w:t>
      </w:r>
    </w:p>
    <w:p>
      <w:r>
        <w:rPr>
          <w:sz w:val="22"/>
        </w:rPr>
        <w:t>Women in rural areas often have to travel long distances to reach a refuge, police station or basic support services. What assessment has the Secretary of State made of the impact that travelling those long distances has on the safety of victims of domestic abuse, and what action is being taken to close the rural support gap?</w:t>
      </w:r>
    </w:p>
    <w:p/>
    <w:p>
      <w:r>
        <w:rPr>
          <w:b/>
          <w:color w:val="1A4A6E"/>
          <w:sz w:val="22"/>
        </w:rPr>
        <w:t>Bridget Phillipson</w:t>
      </w:r>
    </w:p>
    <w:p>
      <w:r>
        <w:rPr>
          <w:sz w:val="22"/>
        </w:rPr>
        <w:t>I do recognise that challenge. That is why in developing our violence against women and girls strategy we heard from victims in rural areas to understand what more is needed to ensure that they can access the services and support that they need.</w:t>
      </w:r>
    </w:p>
    <w:p/>
    <w:p>
      <w:r>
        <w:rPr>
          <w:b/>
          <w:color w:val="1A4A6E"/>
          <w:sz w:val="22"/>
        </w:rPr>
        <w:t>Torcuil Crichton (Lab)</w:t>
      </w:r>
    </w:p>
    <w:p>
      <w:r>
        <w:rPr>
          <w:sz w:val="22"/>
        </w:rPr>
        <w:t>T3. Western Isles Women’s Aid in my constituency helped 180 women last year. The refuge is working at capacity, yet its funding is uncertain. That is why my fundraiser on Friday will seek to raise funds for the organisations. More than 1,800 women reported domestic abuse in the highlands 10 years ago; last year the figure was closer to 2,800. Does the Secretary of State agree that in rural and island communities it takes a lot of courage for women to report domestic abuse, yet we can see from the figures that domestic abuse is no less prevalent?</w:t>
      </w:r>
    </w:p>
    <w:p/>
    <w:p>
      <w:r>
        <w:rPr>
          <w:b/>
          <w:color w:val="1A4A6E"/>
          <w:sz w:val="22"/>
        </w:rPr>
        <w:t>Bridget Phillipson</w:t>
      </w:r>
    </w:p>
    <w:p>
      <w:r>
        <w:rPr>
          <w:sz w:val="22"/>
        </w:rPr>
        <w:t>I do agree. It takes enormous courage to come forward, as women in rural communities often experience additional barriers. I commend my hon. Friend for his fundraising efforts. We are investing more in support services for victims, and my hon. Friend will see when we publish our violence against women and girls strategy that we have heard directly from those living in rural communities to understand what more is needed to put in place the support that they require.</w:t>
      </w:r>
    </w:p>
    <w:p/>
    <w:p>
      <w:r>
        <w:rPr>
          <w:b/>
          <w:color w:val="1A4A6E"/>
          <w:sz w:val="22"/>
        </w:rPr>
        <w:t>Speaker</w:t>
      </w:r>
    </w:p>
    <w:p>
      <w:r>
        <w:rPr>
          <w:sz w:val="22"/>
        </w:rPr>
        <w:t>I call the shadow Secretary of State.</w:t>
      </w:r>
    </w:p>
    <w:p/>
    <w:p>
      <w:r>
        <w:rPr>
          <w:b/>
          <w:color w:val="1A4A6E"/>
          <w:sz w:val="22"/>
        </w:rPr>
        <w:t>Claire Coutinho (Con)</w:t>
      </w:r>
    </w:p>
    <w:p>
      <w:r>
        <w:rPr>
          <w:sz w:val="22"/>
        </w:rPr>
        <w:t>Jennifer Melle, a black nurse with a faultless record, was racially abused by a convicted paedophile for correctly referring to his biological sex in a medical context. She was called the N-word multiple times in her workplace, yet she was the one who was punished by her NHS trust and the Nursing and Midwifery Council. She is still suspended from the job she loves, 18 months later. Does the Secretary of State agree that the dedicated nurses who are being punished for asserting that biological sex is real are facing a gross injustice, and will she meet Jennifer to hear her story?</w:t>
      </w:r>
    </w:p>
    <w:p/>
    <w:p>
      <w:r>
        <w:rPr>
          <w:b/>
          <w:color w:val="1A4A6E"/>
          <w:sz w:val="22"/>
        </w:rPr>
        <w:t>Bridget Phillipson</w:t>
      </w:r>
    </w:p>
    <w:p>
      <w:r>
        <w:rPr>
          <w:sz w:val="22"/>
        </w:rPr>
        <w:t>No one should face racist abuse or violence in any workplace, and that includes the NHS. As we have also seen with the Sandie Peggie case, coming to decisions on these cases in a timely manner is incredibly important. I hope that the matter the right hon. Lady refers to can be resolved as swiftly as possible. I would, of course, be happy to meet Jennifer to hear her experience.</w:t>
      </w:r>
    </w:p>
    <w:p/>
    <w:p>
      <w:r>
        <w:rPr>
          <w:b/>
          <w:color w:val="1A4A6E"/>
          <w:sz w:val="22"/>
        </w:rPr>
        <w:t>Claire Coutinho</w:t>
      </w:r>
    </w:p>
    <w:p>
      <w:r>
        <w:rPr>
          <w:sz w:val="22"/>
        </w:rPr>
        <w:t>I appreciate the Secretary of State’s willingness to meet Jennifer.</w:t>
      </w:r>
    </w:p>
    <w:p>
      <w:r>
        <w:rPr>
          <w:sz w:val="22"/>
        </w:rPr>
        <w:t>Does the Secretary of State believe that an eight-year-old child with autism can consent to a medical pathway that will leave them infertile and without sexual function for the rest of their life? If not, will she personally tell the Health Secretary to stop this puberty blocker experiment, which will biologically castrate children?</w:t>
      </w:r>
    </w:p>
    <w:p/>
    <w:p>
      <w:r>
        <w:rPr>
          <w:b/>
          <w:color w:val="1A4A6E"/>
          <w:sz w:val="22"/>
        </w:rPr>
        <w:t>Bridget Phillipson</w:t>
      </w:r>
    </w:p>
    <w:p>
      <w:r>
        <w:rPr>
          <w:sz w:val="22"/>
        </w:rPr>
        <w:t>We are implementing all the recommendations of the Cass review. Those included establishing a clinical trial, through the PATHWAYS—Puberty Suppression and Transitional Healthcare with Adaptive Youth Services—trial research protocol, which has undergone a thorough, independent review and received all regulatory and ethical approvals. That was a recommendation that Baroness Cass brought forward along with many others, and it is one that we are taking forward.</w:t>
      </w:r>
    </w:p>
    <w:p/>
    <w:p>
      <w:r>
        <w:rPr>
          <w:b/>
          <w:color w:val="1A4A6E"/>
          <w:sz w:val="22"/>
        </w:rPr>
        <w:t>Sarah Russell (Lab)</w:t>
      </w:r>
    </w:p>
    <w:p>
      <w:r>
        <w:rPr>
          <w:sz w:val="22"/>
        </w:rPr>
        <w:t>T5. There is a massive problem with childcare for mothers doing PhDs. Even if they are fully funded for their university research, essentially by the Government, they will not be eligible for free childcare hours and that affects both parents. The average PhD stipend is just £15,000 a year, but the average nursery place is £12,500 a year. Will the Minister look into that?</w:t>
      </w:r>
    </w:p>
    <w:p/>
    <w:p>
      <w:r>
        <w:rPr>
          <w:b/>
          <w:color w:val="1A4A6E"/>
          <w:sz w:val="22"/>
        </w:rPr>
        <w:t>Bridget Phillipson</w:t>
      </w:r>
    </w:p>
    <w:p>
      <w:r>
        <w:rPr>
          <w:sz w:val="22"/>
        </w:rPr>
        <w:t>I am happy to discuss that further with my hon. Friend. We are committed to reviewing childcare support and making sure that it is accessible and simple for families. PhD students are not eligible for some elements of support, but depending on income they may be eligible for certain hours. Student parents are eligible for the universal 15 hours of early free childcare, which is also available for all three and four-year-olds, regardless of family circumstances.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