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Infrastructure (Wales) Act 2024 (Consequential Amendments) Order 2025</w:t>
      </w:r>
    </w:p>
    <w:p>
      <w:r>
        <w:rPr>
          <w:sz w:val="20"/>
        </w:rPr>
        <w:t>10 December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Environment, Housing and planning, Transport</w:t>
      </w:r>
    </w:p>
    <w:p>
      <w:r>
        <w:rPr>
          <w:b/>
        </w:rPr>
        <w:t xml:space="preserve">Topics: </w:t>
      </w:r>
      <w:r>
        <w:rPr>
          <w:sz w:val="20"/>
        </w:rPr>
        <w:t>consequential amendments, infrastructure wales act, planning orders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https://hansard.parliament.uk/Lords/2025-12-10/debates/C43C4288-07E3-4859-AC6C-D3333B221D83/InfrastructureWalesAct2024ConsequentialAmendmentsOrder2025</w:t>
      </w:r>
    </w:p>
    <w:p/>
    <w:p>
      <w:r>
        <w:rPr>
          <w:b/>
          <w:color w:val="1A4A6E"/>
          <w:sz w:val="22"/>
        </w:rPr>
        <w:t>Baroness Anderson of Stoke-on-Trent</w:t>
      </w:r>
    </w:p>
    <w:p>
      <w:r>
        <w:rPr>
          <w:sz w:val="22"/>
        </w:rPr>
        <w:t>That the draft Order laid before the House on 27 October be approved. Considered in Grand Committee on 8 December 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