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w:t>
      </w:r>
    </w:p>
    <w:p>
      <w:r>
        <w:rPr>
          <w:sz w:val="20"/>
        </w:rPr>
        <w:t>1 September 2026  ·  Lords  ·  Committee Stage</w:t>
      </w:r>
    </w:p>
    <w:p>
      <w:r>
        <w:rPr>
          <w:b/>
        </w:rPr>
        <w:t xml:space="preserve">Policy areas: </w:t>
      </w:r>
      <w:r>
        <w:rPr>
          <w:sz w:val="20"/>
        </w:rPr>
        <w:t>Business and industry, Defence and armed forces, Economy, Government and public administration, Science and technology</w:t>
      </w:r>
    </w:p>
    <w:p>
      <w:r>
        <w:rPr>
          <w:b/>
        </w:rPr>
        <w:t xml:space="preserve">Topics: </w:t>
      </w:r>
      <w:r>
        <w:rPr>
          <w:sz w:val="20"/>
        </w:rPr>
        <w:t>critical infrastructure, cyber security resilience, national security, supply chain risks, vendor related risks</w:t>
      </w:r>
    </w:p>
    <w:p>
      <w:r>
        <w:rPr>
          <w:b/>
        </w:rPr>
        <w:t xml:space="preserve">Source: </w:t>
      </w:r>
      <w:r>
        <w:rPr>
          <w:sz w:val="20"/>
        </w:rPr>
        <w:t>https://hansard.parliament.uk/Lords/2026-09-01/debates/28C141CD-8131-4D81-AB23-E998272582C9/CyberSecurityAndResilienceNetworkAndInformationSystemsBill</w:t>
      </w:r>
    </w:p>
    <w:p/>
    <w:p>
      <w:r>
        <w:rPr>
          <w:b/>
          <w:color w:val="1A4A6E"/>
          <w:sz w:val="22"/>
        </w:rPr>
        <w:t>The Parliamentary Under-Secretary of State, Department for Business, Innovation, Science and Trade and Department for Digital, Culture, Media and Sport (Lab)</w:t>
      </w:r>
    </w:p>
    <w:p>
      <w:r>
        <w:rPr>
          <w:sz w:val="22"/>
        </w:rPr>
        <w:t>My Lords, I will also speak to the other amendments in my name in this group. I thank noble Lords for their constructive engagement on this topic over the Summer Recess. I particularly thank the noble Viscount, Lord Camrose, and his colleagues for sending their questions in advance. I will seek to address those in my opening remarks.</w:t>
      </w:r>
    </w:p>
    <w:p>
      <w:r>
        <w:rPr>
          <w:sz w:val="22"/>
        </w:rPr>
        <w:t>This package of amendments introduces new powers that will enable the UK to address vendor-related cyber risks in our critical infrastructure. The principal new clause introduces a new direction power. It enables the Secretary of State to direct entities in scope of the power where they are using, or may potentially use, vendor-supplied goods, services or facilities in connection with their network and information systems that could create national security risks.</w:t>
      </w:r>
    </w:p>
    <w:p>
      <w:r>
        <w:rPr>
          <w:sz w:val="22"/>
        </w:rPr>
        <w:t>It is becoming increasingly clear that there are axes of cyber risks that the Government need to address. These risks arise from goods or services supplied by another company being harnessed as tools for sabotage, surveillance or espionage. But they also exist where goods or services constitute critical points of failure due to their defective design or vulnerabilities. Noble Lords would have had some sense of these risks from debates during this Bill—in particular, discussions about remote access in embedded products such as cellular modules and the scope for hostile interference and control.</w:t>
      </w:r>
    </w:p>
    <w:p>
      <w:r>
        <w:rPr>
          <w:sz w:val="22"/>
        </w:rPr>
        <w:t>GCHQ has also raised escalating concerns about supply-chain vulnerabilities in the wider geopolitical context. The director of GCHQ explicitly called out those risks in her annual lecture in May this year when discussing the challenges posed by a relationship with China and the threats posed by Russian cyber operations. That is why we have tabled Amendment 102 to tackle decisively these risks and protect our national security. Our intention is to limit the use of this power to operators of essential services in the first instance, although we will review the case for bringing other entities into scope in the future.</w:t>
      </w:r>
    </w:p>
    <w:p>
      <w:r>
        <w:rPr>
          <w:sz w:val="22"/>
        </w:rPr>
        <w:t>Supplementary amendments contain the mechanisms needed to operationalise the power. They enable the Secretary of State to set statutory timeframes for decision-making, to specify and update which entities are in scope of the vendor-related direction power and to introduce mandatory procurement screening should this ever be considered necessary to protect national security. They also introduce a power to bring more entities into scope of the existing direction power in Clause 43.</w:t>
      </w:r>
    </w:p>
    <w:p>
      <w:r>
        <w:rPr>
          <w:sz w:val="22"/>
        </w:rPr>
        <w:t>The powers to bring entities into scope of this framework are rightly restricted. To be brought into scope, the Secretary of State or Chancellor of the Duchy of Lancaster must be satisfied that the entity is essential to the economy or the day-to-day functioning of society in all or part of the UK. This is consistent with the Bill’s definition of essential activity in Clause 24. Either Minister can exercise the power. It has been drafted like this to accommodate machinery of government changes.</w:t>
      </w:r>
    </w:p>
    <w:p>
      <w:r>
        <w:rPr>
          <w:sz w:val="22"/>
        </w:rPr>
        <w:t>The decision to introduce the amendments has not been taken lightly. The Bill already includes important national security powers to direct regulated entities whose systems have been compromised, or which are at risk of being compromised, by hostile actors. This new power allows the Government to act before vendors become embedded in supply chains and before taking action becomes costly and disruptive. It will give operators greater confidence in their procurement planning and avoid the need for costly interventions down the line.</w:t>
      </w:r>
    </w:p>
    <w:p>
      <w:r>
        <w:rPr>
          <w:sz w:val="22"/>
        </w:rPr>
        <w:t>Crucially, we are not proposing to introduce these powers in isolation. They will be part of a broader framework which will also include procurement guidance for operators and a voluntary referral route into government where operators have identified potentially risky procurements. The voluntary self-referral route will enable the Government to assist operators with vendor-related concerns, provide them with guidance on how to proceed and, where necessary, inform decisions about the issuing of a direction.</w:t>
      </w:r>
    </w:p>
    <w:p>
      <w:r>
        <w:rPr>
          <w:sz w:val="22"/>
        </w:rPr>
        <w:t>We intend to consult on the implementation of the framework in due course. This will include the criteria for referral and how the mechanism will work in practice. In the event that this Government ever determined a mandatory referral scheme was necessary, we would intend to consult on the definition of a “qualifying transaction” before laying the necessary secondary legislation. However, I emphasise that it is not our current intention to set up a mandatory scheme.</w:t>
      </w:r>
    </w:p>
    <w:p>
      <w:r>
        <w:rPr>
          <w:sz w:val="22"/>
        </w:rPr>
        <w:t>Ultimately, we expect this wider framework will minimise the need for formal interventions using the new powers. However, it is crucial that the power is in place as a backstop to guarantee the Government’s ability to protect the UK’s national security. I beg to move.</w:t>
      </w:r>
    </w:p>
    <w:p/>
    <w:p>
      <w:r>
        <w:rPr>
          <w:b/>
          <w:color w:val="1A4A6E"/>
          <w:sz w:val="22"/>
        </w:rPr>
        <w:t>Lord Clement-Jones</w:t>
      </w:r>
    </w:p>
    <w:p>
      <w:r>
        <w:rPr>
          <w:sz w:val="22"/>
        </w:rPr>
        <w:t>My Lords, I assume that there are no Back-Bench contributions at this point, so I will speak on behalf of the Liberal Democrats to this very significant group of amendments tabled by the Minister as recently as 24 August. I thank her for her introduction today and for her brief meeting shortly after their tabling.</w:t>
      </w:r>
    </w:p>
    <w:p>
      <w:r>
        <w:rPr>
          <w:sz w:val="22"/>
        </w:rPr>
        <w:t>At the outset, from these Benches we express our strong concern about the timing and the sheer scale of the Government’s package of new amendments. To drop 65 amendments of this nature on the eve of Committee, which will completely reshape the architecture of this Bill, after its passage through the Commons, is a major challenge to effective parliamentary scrutiny. The Minister’s letter, also dated 24 August, came alongside these 65 new amendments, so we have had very little time to consider them. As far as I can see, a full Ministerial Statement did not accompany them; we had to rely on the coverage of Computer Weekly to understand the Government’s motives.</w:t>
      </w:r>
    </w:p>
    <w:p>
      <w:r>
        <w:rPr>
          <w:sz w:val="22"/>
        </w:rPr>
        <w:t>The Government have quietly established a major parallel high-risk vendor regime. Under Amendments 102 and 103, the Secretary of State—and now, crucially, under Amendment 101, the Chancellor of the Duchy of Lancaster—are granted unilateral powers to issue vendor-related directions. They can legally order an organisation to prohibit, restrict, remove, disable or modify any software, hardware or digital facility supplied by a designated high-risk vendor. Furthermore, under Amendment 105 they are given the power to establish a mandatory referral scheme, legally forcing companies to submit technology procurement contracts to the Cabinet Office for security clearance before signing.</w:t>
      </w:r>
    </w:p>
    <w:p>
      <w:r>
        <w:rPr>
          <w:sz w:val="22"/>
        </w:rPr>
        <w:t>Let us look closely at the operational mechanism in Amendment 103, which ISC2 has rightly highlighted. The proposed new clause mandates that a company appoints a “skilled person” to oversee compliance and, under subsection (5) of the proposed new clause, permits the Secretary of State to rely on a list of persons published by GCHQ. I ask the Minister: what is this list? Is it public or classified? What objective criteria will govern inclusion? How will conflicts of interest be avoided, and how will independent professional competence be assured? To create statutory compliance roles backed by secret lists is entirely unacceptable.</w:t>
      </w:r>
    </w:p>
    <w:p>
      <w:r>
        <w:rPr>
          <w:sz w:val="22"/>
        </w:rPr>
        <w:t>Under Amendment 108, the Secretary of State can make regulations bringing any specific company into the scope of the Clause 43 directions without bringing them into the NIS regulations as a whole. Under Amendment 127, the Government will insert an emergency “made affirmative” procedure allowing regulations and vendor bans to take effect immediately without prior parliamentary debate. Furthermore, under Amendment 148 the Secretary of State can prohibit a company disclosing that they have received a direction or are in consultation, backed by civil penalties of up to £10 million or £50,000 per day.</w:t>
      </w:r>
    </w:p>
    <w:p>
      <w:r>
        <w:rPr>
          <w:sz w:val="22"/>
        </w:rPr>
        <w:t>There is also a second critical implication—the backdoor regulation of advanced artificial intelligence systems. At Second Reading, the Minister assured the House that advanced AI systems and LLMs were out of scope. These amendments appear to reverse that position. Under Amendment 108, any entity providing essential goods or services can be specified. As our critical infrastructure increasingly integrates agentic AI models, such as GPT-5 or Anthropic’s Mythos, these developers become points of supply chain risk concentration. It seems that, under Amendment 102, the Government can designate AI developers as high-risk vendors and mandate pre-procurement vetting. Is that the case and, if so, why not say so?</w:t>
      </w:r>
    </w:p>
    <w:p>
      <w:r>
        <w:rPr>
          <w:sz w:val="22"/>
        </w:rPr>
        <w:t>The Government will no doubt resist the transparent, legally bounded emergency shutdown power proposed by Amendment 84, with its High Court backstops and seven-day parliamentary reporting, yet here the Government demand sweeping, secretive executive powers to ban software, veto procurement and gag businesses with zero judicial checks. These Benches cannot give these 65 government amendments a free pass. I remind the Minister that, in Grand Committee, unanimity is required for amendments to carry. We insist that the Government come back on Report with strict guardrails and clear limits on executive market intervention without parliamentary consent before these new powers can be exercised.</w:t>
      </w:r>
    </w:p>
    <w:p>
      <w:r>
        <w:rPr>
          <w:sz w:val="22"/>
        </w:rPr>
        <w:t>Quite apart from that, both the Constitution Committee and the Delegated Powers and Regulatory Reform Committee had something to say about the existing powers in the Bill, but neither committee has had a chance to look at these amendments. I am sure that they will have comments to make in due course.</w:t>
      </w:r>
    </w:p>
    <w:p/>
    <w:p>
      <w:r>
        <w:rPr>
          <w:b/>
          <w:color w:val="1A4A6E"/>
          <w:sz w:val="22"/>
        </w:rPr>
        <w:t>Lord Holmes of Richmond</w:t>
      </w:r>
    </w:p>
    <w:p>
      <w:r>
        <w:rPr>
          <w:sz w:val="22"/>
        </w:rPr>
        <w:t>My Lords, I apologise for not speaking before the Liberal Front Bench, but the great news for everybody in Grand Committee is that I am not the Conservative Front Bench. That is good to know. I declare my relevant technology interests as adviser to the Crown Estate and to Simmons &amp;amp; Simmons LLP.</w:t>
      </w:r>
    </w:p>
    <w:p>
      <w:r>
        <w:rPr>
          <w:sz w:val="22"/>
        </w:rPr>
        <w:t>I have just a few questions for the Minister, most of which revolve around what was known when the Bill was in the Commons and what has become known since it was in your Lordships’ House at Second Reading that have required this raft of amendments to come forward over August. The Minister, in her opening, described defective by design; this is an interesting principle, which could have broad applicability, but, as the noble Lord, Lord Clement-Jones, said, we were clearly told at Second Reading that AI and all therein were not in the scope of this Bill. Does this raft of government amendments change that fundamentally? Is it a nod or hint to it? Is this a large, fundamental change in the Government’s policy approach to large language models and enhanced AI, as covered by this raft of proposed amendments?</w:t>
      </w:r>
    </w:p>
    <w:p>
      <w:r>
        <w:rPr>
          <w:sz w:val="22"/>
        </w:rPr>
        <w:t>Is the Minister’s view that changes to the machinery of government will not be complete and clear by the time the Bill completes its passage through your Lordships’ House, hence the need for the reference to the Secretary of State or the Chancellor of the Duchy of Lancaster? Is there a broader issue on that point, worth the Committee considering, on how the shuffling of departmental deckchairs ahead of the Summer Recess is going down? How long will this take to be settled? Could the Minister update the Grand Committee on what is happening with clarity on where every last element of science, innovation and technology policy now rests? Do they all have a clear, identified home and ministerial responsibility?</w:t>
      </w:r>
    </w:p>
    <w:p>
      <w:r>
        <w:rPr>
          <w:sz w:val="22"/>
        </w:rPr>
        <w:t>In later groups we will come on to talk about AI and the deafening silence on AI—until this raft of amendments. Perhaps the Minister would like to comment, in responding, on whether the Government have had a significant change of direction on these technologies, as illustrated by these amendments, or whether they have not. Thus, what will the Government’s response be when these issues are discussed in later groups, compared to the response that they gave at Second Reading?</w:t>
      </w:r>
    </w:p>
    <w:p/>
    <w:p>
      <w:r>
        <w:rPr>
          <w:b/>
          <w:color w:val="1A4A6E"/>
          <w:sz w:val="22"/>
        </w:rPr>
        <w:t>Lord Birt</w:t>
      </w:r>
    </w:p>
    <w:p>
      <w:r>
        <w:rPr>
          <w:sz w:val="22"/>
        </w:rPr>
        <w:t>My Lords, I think that this is profoundly unsatisfactory. It is not good parliamentary procedure to table so many amendments radically different from anything that we have seen before, which I, for one, have seen only at the last minute, so to speak—I have read them, but I will not claim to have studied them. I do not altogether know what I think, but I readily accept that the noble Lord, Lord Clement-Jones, has had a chance to scrutinise them in a lot more detail than I have.</w:t>
      </w:r>
    </w:p>
    <w:p>
      <w:r>
        <w:rPr>
          <w:sz w:val="22"/>
        </w:rPr>
        <w:t>I do not have anything substantial to say, but I would like to ask the Minister a question. Manifestly, there is a national security risk, which we would all recognise, and we all recognise that something needs to be done about it. But, if this is a national security issue, perhaps the Minister could explain to us why it cannot be dealt with under existing national security procedures. I have had time to go on to the GCHQ website, where one finds an impressive and considered approach to handling different security issues of this kind called the “equities process”—I did not know about it until the weekend, but it is impressive to read. I just do not understand why you would lodge such a set of issues with DCMS rather than the Cabinet Office. DCMS seems to me completely the wrong home for identifying, weighing and working out what to do about things that have such profound ramifications. Perhaps the Minister could explain to us why existing procedures, which are well tested and, by and large, involve GCHQ with a lot of consent in other areas of government activity, cannot be applied here with the same sensitivity that GCHQ has shown on other occasions. We cannot have a meaningful discussion about this today, but I think that the Minister has to think about how we can have a meaningful discussion before we reach the next stage of the Bill.</w:t>
      </w:r>
    </w:p>
    <w:p/>
    <w:p>
      <w:r>
        <w:rPr>
          <w:b/>
          <w:color w:val="1A4A6E"/>
          <w:sz w:val="22"/>
        </w:rPr>
        <w:t>Baroness Harding of Winscombe</w:t>
      </w:r>
    </w:p>
    <w:p>
      <w:r>
        <w:rPr>
          <w:sz w:val="22"/>
        </w:rPr>
        <w:t>My Lords, if I may, I will reiterate points that the noble Lord, Lord Birt, has made. A number of us are struggling to keep up. Much of what the noble Lord, Lord Clement-Jones, said made a lot of sense, but I certainly do not feel sufficiently sighted on the amendments and I would like to request from the Minister a proper briefing as soon as we possibly can. We have multiple days in Committee and I feel that we will keep going round the issue of how AI is being addressed in the Bill. At the core, we are all trying to stand on both sides of the fence: we are very nervous of these powers, which appear to have been snuck in without much scrutiny, but, on the other hand, at Second Reading many of us were clear that we want to see AI captured in the Bill. I am very much in two minds and would welcome a proper briefing from the experts.</w:t>
      </w:r>
    </w:p>
    <w:p/>
    <w:p>
      <w:r>
        <w:rPr>
          <w:b/>
          <w:color w:val="1A4A6E"/>
          <w:sz w:val="22"/>
        </w:rPr>
        <w:t>Viscount Camrose</w:t>
      </w:r>
    </w:p>
    <w:p>
      <w:r>
        <w:rPr>
          <w:sz w:val="22"/>
        </w:rPr>
        <w:t>My Lords, I thank the noble Baroness the Minister for introducing this debate and for her helpful advance briefings on these amendments. I also welcome all noble Lords back for what, I am sure, will be a productive Committee stage. It is worth noting at the start of Committee that, sadly, our cyber adversaries did not take the summer off. In July, a small power generator was attacked and, in August, an attack on Manchester Airports Group compromised the data of 8.7 million of its customers.</w:t>
      </w:r>
    </w:p>
    <w:p>
      <w:r>
        <w:rPr>
          <w:sz w:val="22"/>
        </w:rPr>
        <w:t>That said, I begin by saying that we on these Benches support the intention behind the Government’s amendments. I absolutely recognise the concerns expressed by all the other speakers thus far; procedurally, this is a very unusual way to go about it, but we support the intention. We have been calling for an increase in the scope of the Bill and for cyber security measures to be undertaken by businesses and individuals, rather than the Government, where possible. We feel that these new amendments go some way to achieving that.</w:t>
      </w:r>
    </w:p>
    <w:p>
      <w:r>
        <w:rPr>
          <w:sz w:val="22"/>
        </w:rPr>
        <w:t>However, while we support the intentions, the context around them remains challenging. The difficulty that we face when trying to scrutinise and improve this Bill—and I am sure that we will return to this—is that it essentially exists, at least for now, in a vacuum. The Government’s goals are the right ones and their intentions seem to be clear, but we lack the overall holistic framework that is so important for systemic, strategic approaches to cyber security. Perhaps when the Minister stands up she can provide an update on the publication date of the national cyber action plan because, as I said at Second Reading, a cyber Bill can stand or fall only in the context of an overall cyber defence strategy, and we need to see it.</w:t>
      </w:r>
    </w:p>
    <w:p>
      <w:r>
        <w:rPr>
          <w:sz w:val="22"/>
        </w:rPr>
        <w:t>Most evident is that this currently seems to be a Bill without a department. The amendments delegating and separating powers between the Secretary of State and the Chancellor of the Duchy of Lancaster reflect this. I am really concerned—I would appreciate some reassurance from the Minister on this—that the decision to scrap DSIT, the Department for Science, Innovation and Technology, has left this Bill in limbo. A minimum of 30 teams are being split across at least three departments, and this seriously important Bill, which we are all counting on to protect us from enemies known and unknown, is adrift between departments. At the very least, the Government should set out as soon as possible who will have lead responsibility when this Bill is passed.</w:t>
      </w:r>
    </w:p>
    <w:p>
      <w:r>
        <w:rPr>
          <w:sz w:val="22"/>
        </w:rPr>
        <w:t>I thank the Minister for her clarifying remarks on the referral schemes that her amendments introduce. As I have noted, we support the attempt to expand the scope of this Bill and give businesses the ability to be self-sufficient. That support extends to the establishment of a voluntary referral scheme. However, this new voluntary scheme needs to have a clear and accessible framework and a timeline for implementation. If it is to act as an extra layer of security outside the Government’s immediate remit, vendors must know what they are expected to report and the mechanisms for doing so. There is little use setting it up if these are not made explicit at the earliest opportunity. The consultation is welcome, but some idea as to the form the Government intend this scheme to take would be helpful, alongside an indication on timing. I hope the Minister can give more clarity in her closing remarks. If not, I hope she will be able to write to me and all Members of this Committee.</w:t>
      </w:r>
    </w:p>
    <w:p>
      <w:r>
        <w:rPr>
          <w:sz w:val="22"/>
        </w:rPr>
        <w:t>I was originally going to make the point that the mandatory referral of a vendor outside current NIS regulations will necessarily be ad hoc and that, as such, defining “qualifying transactions” would not be proper. Instead, Amendment 153 was an attempt to provide clarity for decision-making without inhibiting the Government’s ability to act. However, given that the Minister said in opening that the Government have no intention of setting up a mandatory referral scheme, we must question why they feel the need to give themselves the powers to do so. Powers should not be granted and come into existence if they are never to be used. At the very least, given that the Minister has now said that the Government would consult on the definition of a qualifying transaction before any scheme is established, the amendment should ensure as much. The Government will now have the opportunity to bring these amendments back on Report. The mandatory referral scheme should be redrafted to reflect the Minister’s statement and be conditional on the defining of qualifying transactions. I hope the Minister will agree to this.</w:t>
      </w:r>
    </w:p>
    <w:p>
      <w:r>
        <w:rPr>
          <w:sz w:val="22"/>
        </w:rPr>
        <w:t>Finally, let me make a general point about the definitions used in these amendments and throughout the Bill. The proposed criterion of being “essential to the economy” is unworkably vague. It is not an adequate representation of the different types and scales of risks. I suggest, for example, the Cyber Monitoring Centre’s five-level severity scale as a model more reflective of the grades of threats facing the United Kingdom. I am not arguing that it is necessarily the right model, but it is at least tested and quantifiable. I look forward to the Minister’s response.</w:t>
      </w:r>
    </w:p>
    <w:p/>
    <w:p>
      <w:r>
        <w:rPr>
          <w:b/>
          <w:color w:val="1A4A6E"/>
          <w:sz w:val="22"/>
        </w:rPr>
        <w:t>Baroness Lloyd of Effra</w:t>
      </w:r>
    </w:p>
    <w:p>
      <w:r>
        <w:rPr>
          <w:sz w:val="22"/>
        </w:rPr>
        <w:t>I thank noble Lords for their comments, views and questions, and I will endeavour to respond to them.</w:t>
      </w:r>
    </w:p>
    <w:p>
      <w:r>
        <w:rPr>
          <w:sz w:val="22"/>
        </w:rPr>
        <w:t>In respect of why the power is being granted to the Secretary of State or the Chancellor of the Duchy of Lancaster, it is to anticipate any unforeseen machinery of government changes. It is nothing more than that—to avoid future changes that would be needed when government departments change. On the skilled persons list, I am advised that that is currently available on the NCSC website, so it is accessible to all.</w:t>
      </w:r>
    </w:p>
    <w:p>
      <w:r>
        <w:rPr>
          <w:sz w:val="22"/>
        </w:rPr>
        <w:t>I come back to the heart of the questions: why is this power needed? It is needed because, even though we are taking powers on critical suppliers, it can be the case that vendors have the capability and intent to cause harm, particularly where they have a link to a third country. That is the element I would highlight today. It is through such vendors that a third country can gain access to or control of critical systems, enabling disruption to UK national infrastructure, surveillance through access to data at scale or espionage through access to sensitive information. The risk landscape is evolving quickly, which is why we are taking action now. On the questions posed by the noble Viscount, Lord Camrose, this is very much in the context of all the other things we are doing—all the other powers in the Bill, the scope of the Bill and the Government’s cyber action plan. This is an additional power focused in particular on being able to act earlier in a preventive manner.</w:t>
      </w:r>
    </w:p>
    <w:p>
      <w:r>
        <w:rPr>
          <w:sz w:val="22"/>
        </w:rPr>
        <w:t>On the definition of “qualifying transactions”, the amendment contains a power to create a statutory referral system. This system would need to state which procurements or transactions were in its scope, but, as the noble Viscount mentioned, we do not anticipate needing to do that now. The process of the Bill is such that we will enact both the mechanisms in the Bill and the voluntary referral mechanism. We will then be able, in the period of assessing the effectiveness of the Bill, to look at the effectiveness of the voluntary referral route. Should we need to introduce a mandatory route—obviously, we have done this in different areas of national security—we will be able to do so.</w:t>
      </w:r>
    </w:p>
    <w:p>
      <w:r>
        <w:rPr>
          <w:sz w:val="22"/>
        </w:rPr>
        <w:t>On scrutiny by Parliament, I appreciate that the fact that we tabled these amendments over the summer has meant that not everybody has been able to familiarise themselves with them and we have not been able to have as many in-depth discussions as we would normally when Parliament is sitting. I would be extremely happy to meet noble Lords with officials so that, after Committee, we can go through all the questions and points of detail that have been raised in this session on how these powers will be enacted, parliamentary scrutiny, the consultation process and all the elements that we have set out in our amendments.</w:t>
      </w:r>
    </w:p>
    <w:p>
      <w:r>
        <w:rPr>
          <w:sz w:val="22"/>
        </w:rPr>
        <w:t>A few noble Lords focused on AI. The power could be extended to high-risk AI models that are procured by operators of essential services. The test for using the vendor power direction does not specify or distinguish particular types of goods or services, in keeping with the technology-agnostic approach of the Bill. If an operator of an essential service were using a vendor-supplied AI model in connection with its network and information services, and this would give rise to a national security risk, it could be in scope of the power. That is very much in keeping with what I believe I said at Second Reading about other areas of connection with network and information services in the rest of the Bill and where that may apply to AI.</w:t>
      </w:r>
    </w:p>
    <w:p>
      <w:r>
        <w:rPr>
          <w:sz w:val="22"/>
        </w:rPr>
        <w:t>With that, I beg leave to withdraw—</w:t>
      </w:r>
    </w:p>
    <w:p/>
    <w:p>
      <w:r>
        <w:rPr>
          <w:b/>
          <w:color w:val="1A4A6E"/>
          <w:sz w:val="22"/>
        </w:rPr>
        <w:t>Viscount Camrose</w:t>
      </w:r>
    </w:p>
    <w:p>
      <w:r>
        <w:rPr>
          <w:sz w:val="22"/>
        </w:rPr>
        <w:t>Before the Minister sits down, I note that there are a lot of “just in case” elements of the Bill; to me, it feels that there are rather too many. For example, I refer the Minister back to the Chancellor of the Duchy of Lancaster v the Secretary of State. Any department is, at any time, subject to machinery of government changes, but never in any Bill that I have seen—admittedly, I have not seen that many—have both been specified, so why is it so in this Bill? Why do this now? Why not simply make a choice and amend later if necessary?</w:t>
      </w:r>
    </w:p>
    <w:p/>
    <w:p>
      <w:r>
        <w:rPr>
          <w:b/>
          <w:color w:val="1A4A6E"/>
          <w:sz w:val="22"/>
        </w:rPr>
        <w:t>Baroness Lloyd of Effra</w:t>
      </w:r>
    </w:p>
    <w:p>
      <w:r>
        <w:rPr>
          <w:sz w:val="22"/>
        </w:rPr>
        <w:t>I am very happy to look at the points that noble Lords have raised in the course of this discussion. I believe that elements such as the consultation and the process of scrutiny are well thought out. I believe that in terms of the elements of subsequent parliamentary scrutiny—the reports that will be made both on the application or when the direction is affected—this is very much in keeping with other national security legislation which has been agreed by this and previous Governments. Many of these elements are very akin to processes that are operational in other areas of government. However, I am very happy to look at, and indeed will look at, all the points that noble Lords have raised. We will discuss them in subsequent meetings, and we will revert to them on Report.</w:t>
      </w:r>
    </w:p>
    <w:p/>
    <w:p>
      <w:r>
        <w:rPr>
          <w:b/>
          <w:color w:val="1A4A6E"/>
          <w:sz w:val="22"/>
        </w:rPr>
        <w:t>Lord Birt</w:t>
      </w:r>
    </w:p>
    <w:p>
      <w:r>
        <w:rPr>
          <w:sz w:val="22"/>
        </w:rPr>
        <w:t>Can the Minister explain why GCHQ is not the right home to exercise these powers? I am sure we will all agree that national security is a significant issue, but it is being lodged in departments that have no prior experience of it. What is wrong with existing GCHQ procedures, which are respected and trusted?</w:t>
      </w:r>
    </w:p>
    <w:p/>
    <w:p>
      <w:r>
        <w:rPr>
          <w:b/>
          <w:color w:val="1A4A6E"/>
          <w:sz w:val="22"/>
        </w:rPr>
        <w:t>Baroness Lloyd of Effra</w:t>
      </w:r>
    </w:p>
    <w:p>
      <w:r>
        <w:rPr>
          <w:sz w:val="22"/>
        </w:rPr>
        <w:t>I will need to write to the noble Lord on that specific question of how GCHQ’s powers are executed in respect of operational decisions such as this. I am aware that in other areas they are within Secretary of State responsibility, whether they are exercised by a Secretary of State, advised by GCHQ or whether, as the noble Lord suggests, they are actually undertaken by GCHQ.</w:t>
      </w:r>
    </w:p>
    <w:p/>
    <w:p>
      <w:r>
        <w:rPr>
          <w:b/>
          <w:color w:val="1A4A6E"/>
          <w:sz w:val="22"/>
        </w:rPr>
        <w:t>Lord Clement-Jones</w:t>
      </w:r>
    </w:p>
    <w:p>
      <w:r>
        <w:rPr>
          <w:sz w:val="22"/>
        </w:rPr>
        <w:t>My Lords, I thank the Minister for her gracious, intended withdrawal of Amendment 1, and I am sure we will have a much better debate on Report as a result, particularly once we have had a chance to read her remarks on both interventions today. However, I hope she will agree with me, especially in terms of what she said about being technology agnostic through the Bill, that we will have a much better debate as we come to talk about specific AI issues as a result of not having already incorporated those in the Bill. So, all the way around we will have a much better debate about the proper shape of the Bill as a result of those amendments being withdrawn.</w:t>
      </w:r>
    </w:p>
    <w:p/>
    <w:p>
      <w:r>
        <w:rPr>
          <w:b/>
          <w:color w:val="1A4A6E"/>
          <w:sz w:val="22"/>
        </w:rPr>
        <w:t>Baroness Lloyd of Effra</w:t>
      </w:r>
    </w:p>
    <w:p>
      <w:r>
        <w:rPr>
          <w:sz w:val="22"/>
        </w:rPr>
        <w:t>With that, I believe now is the time where I beg to leave to withdraw Amendment 1.</w:t>
      </w:r>
    </w:p>
    <w:p/>
    <w:p>
      <w:r>
        <w:rPr>
          <w:b/>
          <w:color w:val="1A4A6E"/>
          <w:sz w:val="22"/>
        </w:rPr>
        <w:t>Baroness Kidron</w:t>
      </w:r>
    </w:p>
    <w:p>
      <w:r>
        <w:rPr>
          <w:sz w:val="22"/>
        </w:rPr>
        <w:t>My Lords, I am very sorry that I missed the early part of that debate because I feel it might impact on some of the things I say. However, when I read the government amendments, I could not see anything in them that made the amendments unnecessary, so I will read carefully all aspects of the first group but I intend to progress with the amendments that I have tabled. I will speak to Amendments 3, 8 and 13 in my name and in the names of the noble Baronesses, Lady Harding, Lady Berger and Lady Morgan. Together, they would expand the scope of services in the Bill so that so-called “small but risky” services were included.</w:t>
      </w:r>
    </w:p>
    <w:p>
      <w:r>
        <w:rPr>
          <w:sz w:val="22"/>
        </w:rPr>
        <w:t>Amendment 3 stipulates that smaller data centres could be included if Ofcom considers that an incident affecting the data centre would have a significant impact on the economy or on the day-to-day functioning of society in the UK, taking into account the data centre’s customer base and its role supporting other essential services. Currently, data centres that are for an enterprise purpose only are covered in the Bill only if the rated IT load is 10 megawatts or greater. This is a mid-size data centre. However, there are commercial data centres that can be much smaller than this and are threatening. Perhaps most notable is a recent example from Denmark where the small cloud hosting providers, CloudNordic and AzeroCloud, suffered a ransomware attack that resulted in the paralysing of all company systems and the servers being shut down. Their hundreds of customers lost all their data, and it was unrecoverable. “Customers” is a bland word, but imagine that you are a hospital treating patients, a university conducting years of scientific research or a small business with its entire operation at stake: the loss of your data risks lost livelihoods, and possibly even lives.</w:t>
      </w:r>
    </w:p>
    <w:p>
      <w:r>
        <w:rPr>
          <w:sz w:val="22"/>
        </w:rPr>
        <w:t>Meanwhile, many experts are calling for an expansion of smaller data centres. They are less taxing on the natural and local environment, more embedded in local communities and are in contrast to mid and large centres, whose environmental costs hit local communities, use up water, increase the strain on the grid, are possibly noisy and ugly and favour the hyperscale business models of big tech. If smaller data centres are an attractive alternative to unpopular larger ones, it is even more essential that they are in scope of these regulations.</w:t>
      </w:r>
    </w:p>
    <w:p>
      <w:r>
        <w:rPr>
          <w:sz w:val="22"/>
        </w:rPr>
        <w:t>Amendment 8 stipulates that a relevant digital service provider would be included if the ICO or AISI determines that the provision of a service poses a risk to public safety, national security or the security of network and information systems. Amendment 3 would do something similar for relevant managed service providers, with the ICO establishing whether a managed service provider poses a risk. Currently, services are excluded if they have fewer than 50 employees and a turnover equivalent to below £8.5 million—it is actually given in euros. I anticipate that the reasoning is not wanting to impose unnecessary burdens on small and micro-sized businesses with fewer employees and resources. I recognise that that is as a concern, but it is equally important to understand that small businesses of all kinds, including those that host critical services and infrastructure in the UK, are regularly victims of cyber attacks. The Government’s own Cyber Security Breaches Survey for 2025-26 records that 42% of micro-sized business and 46% of small businesses in the UK have been the target of cyber attacks. It is simply not the case that small means that risks are contained. The Government’s own figures show that, of the more than 100,000 UK tech companies, 95% have fewer than 50 employees.</w:t>
      </w:r>
    </w:p>
    <w:p>
      <w:r>
        <w:rPr>
          <w:sz w:val="22"/>
        </w:rPr>
        <w:t>These amendments would replicate the rationale of amendments to the then Online Safety Bill from the noble Baroness, Lady Morgan, on Report. I know that she would have liked to be here to speak to them, but she is unable to be here today. Her amendments stipulated that services under the Online Safety Bill should be categorised by risk or size. I will not rehearse what noble Lords have heard many times, but the lesson of that Bill is that the Government of the day got it wrong, as did the regulator. In the connected world, a small component of a global system can cause havoc.</w:t>
      </w:r>
    </w:p>
    <w:p>
      <w:r>
        <w:rPr>
          <w:sz w:val="22"/>
        </w:rPr>
        <w:t>When this Bill first entered the other place, I went to a briefing by Politico where its four experts spoke repeatedly about how narrow the Bill was and how focused it was on providing for a small subset of issues relating to cyber security and safety with a vision of hyperscale vendors. They were a combination of exasperated and incredulous that, even as we saw the increasing cost to the economy, the damage to businesses caught up in it and the devastation to individuals, as well as what all agreed was a national security threat, the Government had not sought to offer a vision for how all these might be protected. When it came to questions, the first was to ask why the experts thought the Government had been so unambitious. The answer was unedifying: to prevent the Lords hijacking the Bill.</w:t>
      </w:r>
    </w:p>
    <w:p>
      <w:r>
        <w:rPr>
          <w:sz w:val="22"/>
        </w:rPr>
        <w:t>I hope that the new Administration who start today have moved on and that we will have a more collegiate approach. I have read all the amendments currently laid, including the ones in this group, and in almost all cases they seek to do what is the stated intention of the Bill: to make the country more resilient. In the world of cyber security, size is not a proxy for risk; it is much more complex than that. The amendments in my name and those of others seek to ensure that we learn lessons from the Online Safety Act. I beg to move.</w:t>
      </w:r>
    </w:p>
    <w:p/>
    <w:p>
      <w:r>
        <w:rPr>
          <w:b/>
          <w:color w:val="1A4A6E"/>
          <w:sz w:val="22"/>
        </w:rPr>
        <w:t>Baroness Harding of Winscombe</w:t>
      </w:r>
    </w:p>
    <w:p>
      <w:r>
        <w:rPr>
          <w:sz w:val="22"/>
        </w:rPr>
        <w:t>My Lords, I support Amendments 3, 8 and 13 in the name of the noble Baroness, Lady Kidron, to which I have added my name. I will not repeat too much all her comments on our learning from the Online Safety Act that small does not mean low risk. However, it should not be a surprise that those of us who championed that amendment to the then Online Safety Bill have again put our names to it. We have learned the hard way that, in online safety, risk can come from the smallest providers.</w:t>
      </w:r>
    </w:p>
    <w:p>
      <w:r>
        <w:rPr>
          <w:sz w:val="22"/>
        </w:rPr>
        <w:t>I have learned it personally. I retired from TalkTalk 10 years ago and I remember, what must have been 11 years ago—I promise this is not a cyber attack story—a mapping exercise across all the telcos, mobile and fixed, looking at our even then incredibly complex data centre networks across Europe. I am sure this has all changed and is much more complex, but I remember discovering, as a result of that exercise, that all of us were routing traffic through the same small data centre in central Europe and none of us was aware that we were doing so. These networks are expanding so fast and data centres and managed service providers are growing so fast that it is impossible for people to retain perfect knowledge 100% of the time, so a small provider really can be a node that brings down the whole network. It is not just in child safety that we have learned that small can mean very risky; it is also the case in the world of physical digital infrastructure, which we have known for some time in telecoms. That is why these amendments are so important.</w:t>
      </w:r>
    </w:p>
    <w:p/>
    <w:p>
      <w:r>
        <w:rPr>
          <w:b/>
          <w:color w:val="1A4A6E"/>
          <w:sz w:val="22"/>
        </w:rPr>
        <w:t>Lord Clement-Jones</w:t>
      </w:r>
    </w:p>
    <w:p>
      <w:r>
        <w:rPr>
          <w:sz w:val="22"/>
        </w:rPr>
        <w:t>My Lords, these amendments confront us immediately with some of the Bill’s most fundamental potential structural weaknesses—the danger of a static, arbitrary and pre-digital scope. The Government appear to have conceded this point already by tabling those infamous 65 high-risk vendor amendments in the previous group. Let us look first at Amendment 3 in the name of the noble Baroness, Lady Kidron, which I would have signed if there had been room.</w:t>
      </w:r>
    </w:p>
    <w:p>
      <w:r>
        <w:rPr>
          <w:sz w:val="22"/>
        </w:rPr>
        <w:t>As drafted, the Bill brings data centres into scope, relying entirely on rigid physical megawatt thresholds—specifically a rated IT load of 1 megawatt, or 10 megawatts for enterprise facilities. In the modern cloud ecosystem, physical power load is a crude and unreliable proxy for risk. A highly dense, interconnected facility drawing under 1 megawatt can host the critical patient records of multiple NHS trusts, emergency dispatch telemetry or core local government routing directories. If that facility is compromised, the societal and economic devastation will be catastrophic, regardless of how much electricity it pulls from the grid—the noble Baroness drew the parallels with NHS data centres.</w:t>
      </w:r>
    </w:p>
    <w:p>
      <w:r>
        <w:rPr>
          <w:sz w:val="22"/>
        </w:rPr>
        <w:t>Amendment 3 would provide the essential statutory fix. It would empower Ofcom to apply a risk-based designation that looks beyond physical power to evaluate the customer base, data sensitivity and critical interconnectivity. I listened with considerable interest and sympathy to what the noble Baronesses, Lady Kidron and Lady Harding, had to say about parallels with the Online Safety Act, which is engraved on our hearts.</w:t>
      </w:r>
    </w:p>
    <w:p/>
    <w:p>
      <w:r>
        <w:rPr>
          <w:b/>
          <w:color w:val="1A4A6E"/>
          <w:sz w:val="22"/>
        </w:rPr>
        <w:t>Lord Markham</w:t>
      </w:r>
    </w:p>
    <w:p>
      <w:r>
        <w:rPr>
          <w:sz w:val="22"/>
        </w:rPr>
        <w:t>I add my thanks to the noble Baroness, Lady Kidron, and other noble Lords for trying to make sense of what we all agree is a very difficult area. We are trying to come to a definition of high-risk areas. As we have heard in the examples today, you cannot limit it to size or certain criteria, but we all recognise that you need some sort of risk-based approach for who we really need to be watching out for, for want of a better phrase.</w:t>
      </w:r>
    </w:p>
    <w:p>
      <w:r>
        <w:rPr>
          <w:sz w:val="22"/>
        </w:rPr>
        <w:t>In some ways, I come back to the suggestion from my noble friend Lord Camrose. In its severity scale, the Cyber Monitoring Centre has tried to set up such a mechanism. It looks at having a separate grid system which considers, on the one hand, the financial, pound-note impact and, on the other hand, the impact on members of the population. It is a really difficult exercise to define exactly what should and should not be in it, but in using a scale such as this and asking companies or entities to assess themselves, if they come up with a zero or a one then it is less of a concern and, if they come up with a three or a four, it is more of a concern.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