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Ltd v Scottish Ministers</w:t>
      </w:r>
    </w:p>
    <w:p>
      <w:r>
        <w:rPr>
          <w:sz w:val="20"/>
        </w:rPr>
        <w:t>1 June 2026  ·  Lords  ·  Proceedings</w:t>
      </w:r>
    </w:p>
    <w:p>
      <w:r>
        <w:rPr>
          <w:b/>
        </w:rPr>
        <w:t xml:space="preserve">Source: </w:t>
      </w:r>
      <w:r>
        <w:rPr>
          <w:sz w:val="20"/>
        </w:rPr>
        <w:t>https://hansard.parliament.uk/Lords/2026-06-01/debates/7BAE213A-9D03-41A3-BF3D-1C762FD4BEBF/ForWomenScotlandLtdVScottishMinisters</w:t>
      </w:r>
    </w:p>
    <w:p/>
    <w:p>
      <w:r>
        <w:rPr>
          <w:b/>
          <w:color w:val="1A4A6E"/>
          <w:sz w:val="22"/>
        </w:rPr>
        <w:t>The Minister of State, Office for Equality and Opportunity (Lab)</w:t>
      </w:r>
    </w:p>
    <w:p>
      <w:r>
        <w:rPr>
          <w:sz w:val="22"/>
        </w:rPr>
        <w:t>My Lords, the Supreme Court ruling that the noble Lord’s Question refers to brings clarity for women and service providers. We expect all duty bearers to follow the law and to seek legal advice where necessary, and that includes government departments. Departments have been reviewing and updating their policies and guidance following the Supreme Court ruling. This includes the new internal Civil Service guidance that has been shared with departments. We will ensure that any policies and guidance are consistent with the draft code of practice for services, public functions and associations that was laid in Parliament before the Recess.</w:t>
      </w:r>
    </w:p>
    <w:p/>
    <w:p>
      <w:r>
        <w:rPr>
          <w:b/>
          <w:color w:val="1A4A6E"/>
          <w:sz w:val="22"/>
        </w:rPr>
        <w:t>Lord Strasburger</w:t>
      </w:r>
    </w:p>
    <w:p>
      <w:r>
        <w:rPr>
          <w:sz w:val="22"/>
        </w:rPr>
        <w:t>I thank the Minister for her reply. Over the last year, Government Ministers have repeatedly told this House that all service providers must get on with implementing last year’s Supreme Court ruling, but it seems that the NHS did not get the memo. The cases of Sandie Peggie and the Darlington nurses show that the NHS still expects female nurses to undress in front of males. Will the new Health Secretary be any better than the previous one at getting the NHS to obey the law?</w:t>
      </w:r>
    </w:p>
    <w:p/>
    <w:p>
      <w:r>
        <w:rPr>
          <w:b/>
          <w:color w:val="1A4A6E"/>
          <w:sz w:val="22"/>
        </w:rPr>
        <w:t>Baroness Smith of Malvern</w:t>
      </w:r>
    </w:p>
    <w:p>
      <w:r>
        <w:rPr>
          <w:sz w:val="22"/>
        </w:rPr>
        <w:t>Of course it is the case that the NHS should be obeying the law, in terms of both the provision of goods and services, which this code covers, and employment practices, on which further guidance will come from the EHRC. On the provision of the services that the NHS is responsible for, it is of course thinking carefully about both the ruling and the guidance, and it will be coming forward with more guidance in the near future.</w:t>
      </w:r>
    </w:p>
    <w:p/>
    <w:p>
      <w:r>
        <w:rPr>
          <w:b/>
          <w:color w:val="1A4A6E"/>
          <w:sz w:val="22"/>
        </w:rPr>
        <w:t>Baroness Chakrabarti</w:t>
      </w:r>
    </w:p>
    <w:p>
      <w:r>
        <w:rPr>
          <w:sz w:val="22"/>
        </w:rPr>
        <w:t>My Lords, I remember Meta Ramsay as an outstanding public servant who was as kind as she was courageous.</w:t>
      </w:r>
    </w:p>
    <w:p>
      <w:r>
        <w:rPr>
          <w:sz w:val="22"/>
        </w:rPr>
        <w:t>After numerous Lords Questions and a year-long review, we are left with the controversial code essentially unchanged. I ask, in sympathy with those who feel adversely affected and those who must implement it, how is a local GP surgery or a village hall to navigate proportionality, when three recent court decisions seem to point in different directions? Is this practically possible, or is it time to legislate?</w:t>
      </w:r>
    </w:p>
    <w:p/>
    <w:p>
      <w:r>
        <w:rPr>
          <w:b/>
          <w:color w:val="1A4A6E"/>
          <w:sz w:val="22"/>
        </w:rPr>
        <w:t>Baroness Smith of Malvern</w:t>
      </w:r>
    </w:p>
    <w:p>
      <w:r>
        <w:rPr>
          <w:sz w:val="22"/>
        </w:rPr>
        <w:t>I believe it is practically possible. One of the reasons for taking the time, both in government and in the EHRC, is to make sure that the code that has now been published provides practical and sensible examples about how the law can be implemented. If providers take the time to look at the code, they will see exactly that type of supportive and common-sense advice about how to implement what is and has been the law and was simply clarified by the Supreme Court ruling.</w:t>
      </w:r>
    </w:p>
    <w:p/>
    <w:p>
      <w:r>
        <w:rPr>
          <w:b/>
          <w:color w:val="1A4A6E"/>
          <w:sz w:val="22"/>
        </w:rPr>
        <w:t>Baroness Falkner of Margravine</w:t>
      </w:r>
    </w:p>
    <w:p>
      <w:r>
        <w:rPr>
          <w:sz w:val="22"/>
        </w:rPr>
        <w:t>My Lords, now that the Minister has agreed that government departments need to conform to the Supreme Court ruling, will she be able to tell the House what amount of public funds has been expended since the Forstater judgment of 2021 on religion and belief by government departments in litigation and settlements that deal with civil servants bringing cases against government departments? If she does not have that figure to hand, could she write to me telling me what it is?</w:t>
      </w:r>
    </w:p>
    <w:p/>
    <w:p>
      <w:r>
        <w:rPr>
          <w:b/>
          <w:color w:val="1A4A6E"/>
          <w:sz w:val="22"/>
        </w:rPr>
        <w:t>Baroness Smith of Malvern</w:t>
      </w:r>
    </w:p>
    <w:p>
      <w:r>
        <w:rPr>
          <w:sz w:val="22"/>
        </w:rPr>
        <w:t>Yes, I am happy to do that.</w:t>
      </w:r>
    </w:p>
    <w:p/>
    <w:p>
      <w:r>
        <w:rPr>
          <w:b/>
          <w:color w:val="1A4A6E"/>
          <w:sz w:val="22"/>
        </w:rPr>
        <w:t>Lord Harper</w:t>
      </w:r>
    </w:p>
    <w:p>
      <w:r>
        <w:rPr>
          <w:sz w:val="22"/>
        </w:rPr>
        <w:t>My Lords, I draw the Minister back to the noble Lord’s original Question, which was about which government departments are not complying with the Supreme Court’s judgment. I asked the noble Lord, Lord Collins, twice in this House to confirm that all government departments were fully complying with the Supreme Court judgment, and he confirmed twice that, absolutely, they all were doing so. Is the Minister able to confirm that and provide the evidence that supports that statement?</w:t>
      </w:r>
    </w:p>
    <w:p/>
    <w:p>
      <w:r>
        <w:rPr>
          <w:b/>
          <w:color w:val="1A4A6E"/>
          <w:sz w:val="22"/>
        </w:rPr>
        <w:t>Baroness Smith of Malvern</w:t>
      </w:r>
    </w:p>
    <w:p>
      <w:r>
        <w:rPr>
          <w:sz w:val="22"/>
        </w:rPr>
        <w:t>Of course it is the case that government departments need to comply with the law, and they are working to ensure that they are complying with the law.</w:t>
      </w:r>
    </w:p>
    <w:p/>
    <w:p>
      <w:r>
        <w:rPr>
          <w:b/>
          <w:color w:val="1A4A6E"/>
          <w:sz w:val="22"/>
        </w:rPr>
        <w:t>Noble Lords</w:t>
      </w:r>
    </w:p>
    <w:p>
      <w:r>
        <w:rPr>
          <w:sz w:val="22"/>
        </w:rPr>
        <w:t>Oh!</w:t>
      </w:r>
    </w:p>
    <w:p/>
    <w:p>
      <w:r>
        <w:rPr>
          <w:b/>
          <w:color w:val="1A4A6E"/>
          <w:sz w:val="22"/>
        </w:rPr>
        <w:t>Baroness Smith of Malvern</w:t>
      </w:r>
    </w:p>
    <w:p>
      <w:r>
        <w:rPr>
          <w:sz w:val="22"/>
        </w:rPr>
        <w:t>My noble friend has been clear, and I have been clear. The noble Lord might want to suggest that we have not been, but I am afraid I think that we have.</w:t>
      </w:r>
    </w:p>
    <w:p/>
    <w:p>
      <w:r>
        <w:rPr>
          <w:b/>
          <w:color w:val="1A4A6E"/>
          <w:sz w:val="22"/>
        </w:rPr>
        <w:t>Lord Carlile of Berriew</w:t>
      </w:r>
    </w:p>
    <w:p>
      <w:r>
        <w:rPr>
          <w:sz w:val="22"/>
        </w:rPr>
        <w:t>My Lords, will the Minister tell the House what the Government propose to do to restore the legitimate expectation of those who obtain gender recognition certificates? Section 9 of the 2004 Act says that a person’s gender</w:t>
      </w:r>
    </w:p>
    <w:p>
      <w:r>
        <w:rPr>
          <w:sz w:val="22"/>
        </w:rPr>
        <w:t>“becomes for all purposes the acquired gender”</w:t>
      </w:r>
    </w:p>
    <w:p>
      <w:r>
        <w:rPr>
          <w:sz w:val="22"/>
        </w:rPr>
        <w:t>in law, an expectation which has been smashed by the proposed guidance.</w:t>
      </w:r>
    </w:p>
    <w:p/>
    <w:p>
      <w:r>
        <w:rPr>
          <w:b/>
          <w:color w:val="1A4A6E"/>
          <w:sz w:val="22"/>
        </w:rPr>
        <w:t>Baroness Smith of Malvern</w:t>
      </w:r>
    </w:p>
    <w:p>
      <w:r>
        <w:rPr>
          <w:sz w:val="22"/>
        </w:rPr>
        <w:t>The noble Lord will know that the particular issue he identifies was the subject of the ruling in the For Women Scotland judgment. That was an interpretation of the law as it had always stood; it is clear, and the code is now enabling providers to deliver on the basis of that. But it is also the case, of course, and in that ruling it was made clear, that the safeguards for people in the Equality Act on the basis of gender reassignment remain, and discrimination and harassment against people on that basis remain unlawful. The code makes that clear, in fact, and is helpful in delivering it.</w:t>
      </w:r>
    </w:p>
    <w:p/>
    <w:p>
      <w:r>
        <w:rPr>
          <w:b/>
          <w:color w:val="1A4A6E"/>
          <w:sz w:val="22"/>
        </w:rPr>
        <w:t>Lord Scriven</w:t>
      </w:r>
    </w:p>
    <w:p>
      <w:r>
        <w:rPr>
          <w:sz w:val="22"/>
        </w:rPr>
        <w:t>My Lords, given that the Government’s own impact assessment on the guidance notes the real-world problems that will still impact some women and trans individuals, by what measures will the Government be evaluating the impact of these challenges and whether the guidance actually meets its aims and ambitions?</w:t>
      </w:r>
    </w:p>
    <w:p/>
    <w:p>
      <w:r>
        <w:rPr>
          <w:b/>
          <w:color w:val="1A4A6E"/>
          <w:sz w:val="22"/>
        </w:rPr>
        <w:t>Baroness Smith of Malvern</w:t>
      </w:r>
    </w:p>
    <w:p>
      <w:r>
        <w:rPr>
          <w:sz w:val="22"/>
        </w:rPr>
        <w:t>Given the number of questions and the debate there is about this issue, I do not think there is anybody who does not think that some difficult and contested issues have had to be dealt with along the way. But the publication of the code, and the work of the EHRC to deliver it, provide, as the commission has said it attempted to, some more exemplification about how providers can abide by the law. Most importantly, it can ensure that everybody’s rights under the Equality Act, including their dignity and their ability to access services, are upheld.</w:t>
      </w:r>
    </w:p>
    <w:p/>
    <w:p>
      <w:r>
        <w:rPr>
          <w:b/>
          <w:color w:val="1A4A6E"/>
          <w:sz w:val="22"/>
        </w:rPr>
        <w:t>The Lord Bishop of Manchester</w:t>
      </w:r>
    </w:p>
    <w:p>
      <w:r>
        <w:rPr>
          <w:sz w:val="22"/>
        </w:rPr>
        <w:t>My Lords, alongside other faith leaders, I am increasingly coming across trans people—men and women, often young and quite fragile—who are increasingly frightened. They are frightened about participating in public life and about being challenged. Some are even frightened about going to the doctor. What assessment have His Majesty’s Government made of the mental health of trans people, and how will they support them with these changes?</w:t>
      </w:r>
    </w:p>
    <w:p/>
    <w:p>
      <w:r>
        <w:rPr>
          <w:b/>
          <w:color w:val="1A4A6E"/>
          <w:sz w:val="22"/>
        </w:rPr>
        <w:t>Baroness Smith of Malvern</w:t>
      </w:r>
    </w:p>
    <w:p>
      <w:r>
        <w:rPr>
          <w:sz w:val="22"/>
        </w:rPr>
        <w:t>First, we have consistently recognised that there has been concern among the trans community about the way in which the ruling and the code will be implemented. I hope that recognising, as the ruling does, that the rights of trans people remain unaffected under the Equality Act through that ruling, along with the code itself spelling out the ways in which trans people need to maintain their access to services, and setting out some quite sensible examples of how that should happen, would provide some reassurance.</w:t>
      </w:r>
    </w:p>
    <w:p/>
    <w:p>
      <w:r>
        <w:rPr>
          <w:b/>
          <w:color w:val="1A4A6E"/>
          <w:sz w:val="22"/>
        </w:rPr>
        <w:t>Baroness Stedman-Scott</w:t>
      </w:r>
    </w:p>
    <w:p>
      <w:r>
        <w:rPr>
          <w:sz w:val="22"/>
        </w:rPr>
        <w:t>My Lords, this morning the Health Secretary told the “Today” programme that the Supreme Court ruling was clear and that single-sex spaces must be protected, but UNISON has called parts of the new guidance “completely unworkable” and Sir Ed Davey has said that it is “not fit for purpose”. Can the Minister reassure the House that whatever pressure Ministers may be under from unions, MPs or anybody else, they will stand firm on protecting single-sex spaces—yes or no?</w:t>
      </w:r>
    </w:p>
    <w:p/>
    <w:p>
      <w:r>
        <w:rPr>
          <w:b/>
          <w:color w:val="1A4A6E"/>
          <w:sz w:val="22"/>
        </w:rPr>
        <w:t>Baroness Smith of Malvern</w:t>
      </w:r>
    </w:p>
    <w:p>
      <w:r>
        <w:rPr>
          <w:sz w:val="22"/>
        </w:rPr>
        <w:t>This Government have always protected the right of women to have single-sex spaces. They always have; some of us have quite a long history of doing it and we will continue to do that.</w:t>
      </w:r>
    </w:p>
    <w:p/>
    <w:p>
      <w:r>
        <w:rPr>
          <w:b/>
          <w:color w:val="1A4A6E"/>
          <w:sz w:val="22"/>
        </w:rPr>
        <w:t>Baroness Brown of Silvertown</w:t>
      </w:r>
    </w:p>
    <w:p>
      <w:r>
        <w:rPr>
          <w:sz w:val="22"/>
        </w:rPr>
        <w:t>My Lords, the code, read alongside the building regulations, creates conditions in which anyone may feel entitled to challenge anyone in a single-sex facility whose appearance does not satisfy them. Can the Minister point to any evidence that trans people in public toilets represent a significant risk to others, and does she accept that the more likely consequence of this framework is the harassment of gender non-conforming women who are not trans at all?</w:t>
      </w:r>
    </w:p>
    <w:p/>
    <w:p>
      <w:r>
        <w:rPr>
          <w:b/>
          <w:color w:val="1A4A6E"/>
          <w:sz w:val="22"/>
        </w:rPr>
        <w:t>Baroness Smith of Malvern</w:t>
      </w:r>
    </w:p>
    <w:p>
      <w:r>
        <w:rPr>
          <w:sz w:val="22"/>
        </w:rPr>
        <w:t>I hope when my noble friend has a chance to look at the code in detail she will recognise that the code now makes it clear that determining somebody’s sex on the basis of their physical appearance would not necessarily be straightforward or appropriate. I think that is an important statement. On the point about challenging and enforcement, most of us in this country for many years have lived in a way that enables people to access public services, including toilets, without any policing. That is not the British way we do things—nor do I think it should be in future. There are common-sense ways in which the code identifies how we can ensure both that the ruling is complied with and that all people—particularly trans people who may be worried about it—can get access to the facilities they need and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