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Lord Speaker’s Statement</w:t>
      </w:r>
    </w:p>
    <w:p>
      <w:r>
        <w:rPr>
          <w:sz w:val="20"/>
        </w:rPr>
        <w:t>1 June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https://hansard.parliament.uk/Lords/2026-06-01/debates/2F862BA9-0C3F-45A1-A234-21699FEA029A/LordSpeakersStatement</w:t>
      </w:r>
    </w:p>
    <w:p/>
    <w:p>
      <w:r>
        <w:rPr>
          <w:b/>
          <w:color w:val="1A4A6E"/>
          <w:sz w:val="22"/>
        </w:rPr>
        <w:t>Lord Forsyth of Drumlean (The Lord Speaker)</w:t>
      </w:r>
    </w:p>
    <w:p>
      <w:r>
        <w:rPr>
          <w:sz w:val="22"/>
        </w:rPr>
        <w:t>My Lords, before inviting the noble Lord, Lord Foulkes, to ask his Private Notice Question about the funding of political parties, I remind the House that no direct reference should be made to the criminal case currently before the Scottish courts of His Majesty’s Advocate v Peter Murrell. Noble Lords are of course free to discuss the general issue, but the specific case remains sub judice as sentencing is due to take place on 23 June.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