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1 July 2026  ·  Lords  ·  Debate</w:t>
      </w:r>
    </w:p>
    <w:p>
      <w:r>
        <w:rPr>
          <w:b/>
        </w:rPr>
        <w:t xml:space="preserve">Policy areas: </w:t>
      </w:r>
      <w:r>
        <w:rPr>
          <w:sz w:val="20"/>
        </w:rPr>
        <w:t>Business and industry, Economy, Employment and labour market, Finance and taxation, Parliament and constitution</w:t>
      </w:r>
    </w:p>
    <w:p>
      <w:r>
        <w:rPr>
          <w:b/>
        </w:rPr>
        <w:t xml:space="preserve">Topics: </w:t>
      </w:r>
      <w:r>
        <w:rPr>
          <w:sz w:val="20"/>
        </w:rPr>
        <w:t>accrued pension benefits, parliamentary consultation, pension rights protection, pension scheme liabilities, steel industry nationalisation</w:t>
      </w:r>
    </w:p>
    <w:p>
      <w:r>
        <w:rPr>
          <w:b/>
        </w:rPr>
        <w:t xml:space="preserve">Source: </w:t>
      </w:r>
      <w:r>
        <w:rPr>
          <w:sz w:val="20"/>
        </w:rPr>
        <w:t>https://hansard.parliament.uk/Lords/2026-07-01/debates/E96558B6-5D0C-44B7-9911-1017D8597B38/SteelIndustryNationalisationBill</w:t>
      </w:r>
    </w:p>
    <w:p/>
    <w:p>
      <w:r>
        <w:rPr>
          <w:b/>
          <w:color w:val="1A4A6E"/>
          <w:sz w:val="22"/>
        </w:rPr>
        <w:t>Lord Sharpe of Epsom</w:t>
      </w:r>
    </w:p>
    <w:p>
      <w:r>
        <w:rPr>
          <w:sz w:val="22"/>
        </w:rPr>
        <w:t>My Lords, my apologies: I was asleep at the wheel, much like the England defence. I rise to speak to Amendments 16 and 17 in my name and that of my noble friend Lord Hunt of Wirral.</w:t>
      </w:r>
    </w:p>
    <w:p>
      <w:r>
        <w:rPr>
          <w:sz w:val="22"/>
        </w:rPr>
        <w:t>I thank the Minister for his letter on Clause 44 and for meeting us to discuss the Bill and the ways in which it may be improved. I welcome his confirmation that the Government’s intention is for workers’ pension benefits to remain unchanged, but where the Bill gives the Secretary of State powers to modify or apportion pension rights and liabilities, transfer accrued rights between schemes, and amend scheme terms, workers and pensioners need more than an assurance of present intent. They need a clear legal safeguard, which my Amendment 17 would provide. It would ensure that regulations made under Clause 44 could not reduce the value of accrued pension rights or benefits, nor make the terms on which benefits accrue less favourable in future.</w:t>
      </w:r>
    </w:p>
    <w:p>
      <w:r>
        <w:rPr>
          <w:sz w:val="22"/>
        </w:rPr>
        <w:t>Amendment 16 addresses consultation and engagement. It would require the Government to consult affected undertakings, pension trustees and managers, scheme members and beneficiaries, trade unions, the Pensions Regulator and the Pension Protection Fund, and to have regard to the interests of members and beneficiaries, including the protection of accrued rights and the security of benefits. The Minister suggested that full consultation before the use of these powers may not be realistic where urgent action is required. We understand the need to avoid delay where a transfer must take place swiftly, but urgency cannot mean that pension stakeholders are simply bypassed. If consultation cannot practically take place before a transfer, will the Minister commit to a prompt and meaningful consultation afterwards, and in any event before any further pension regulations are made? Will he also confirm that the Government will engage formally with the Pensions Regulator, the Pension Protection Fund, trustees, scheme members and their representatives, so that any necessary arrangements are made to protect members’ accrued rights and the long-term security of their benefits? I beg to move.</w:t>
      </w:r>
    </w:p>
    <w:p/>
    <w:p>
      <w:r>
        <w:rPr>
          <w:b/>
          <w:color w:val="1A4A6E"/>
          <w:sz w:val="22"/>
        </w:rPr>
        <w:t>Lord Fox</w:t>
      </w:r>
    </w:p>
    <w:p>
      <w:r>
        <w:rPr>
          <w:sz w:val="22"/>
        </w:rPr>
        <w:t>My Lords, I, too, am confused, because I thought Amendment 20 was in this group.</w:t>
      </w:r>
    </w:p>
    <w:p/>
    <w:p>
      <w:r>
        <w:rPr>
          <w:b/>
          <w:color w:val="1A4A6E"/>
          <w:sz w:val="22"/>
        </w:rPr>
        <w:t>Noble Lords</w:t>
      </w:r>
    </w:p>
    <w:p>
      <w:r>
        <w:rPr>
          <w:sz w:val="22"/>
        </w:rPr>
        <w:t>It is.</w:t>
      </w:r>
    </w:p>
    <w:p/>
    <w:p>
      <w:r>
        <w:rPr>
          <w:b/>
          <w:color w:val="1A4A6E"/>
          <w:sz w:val="22"/>
        </w:rPr>
        <w:t>Lord Fox</w:t>
      </w:r>
    </w:p>
    <w:p>
      <w:r>
        <w:rPr>
          <w:sz w:val="22"/>
        </w:rPr>
        <w:t>Unfortunately, the proposer failed to mention it in his speech. I signed it merely because I wanted to indicate that the contingent liabilities are an important part of the Bill as we discuss it. However, the main issues within this group are those that I will discuss later, in group 4. In that respect, I am going to keep my powder dry.</w:t>
      </w:r>
    </w:p>
    <w:p/>
    <w:p>
      <w:r>
        <w:rPr>
          <w:b/>
          <w:color w:val="1A4A6E"/>
          <w:sz w:val="22"/>
        </w:rPr>
        <w:t>The Parliamentary Under-Secretary of State, Department for Business and Trade (Lab)</w:t>
      </w:r>
    </w:p>
    <w:p>
      <w:r>
        <w:rPr>
          <w:sz w:val="22"/>
        </w:rPr>
        <w:t>My Lords, before I start, I am sure all noble Lords want to join me in wishing the England team the very best for the rest of the match this afternoon.</w:t>
      </w:r>
    </w:p>
    <w:p>
      <w:r>
        <w:rPr>
          <w:sz w:val="22"/>
        </w:rPr>
        <w:t>First, let me thank the noble Lord, Lord Sharpe, for his contribution and his amendments. Amendment 20, in the name of the noble Lord, Lord Fox, would require the Government to provide a statement to Parliament outlining the value of contingent liabilities and the steps they would take to minimise taxpayer exposure to them before an intervention. As I have set out previously, the Government are somewhat constrained in the procedural steps they can take before exercising the power in the Bill. This is why the transfer powers are exercisable by regulations subject to a negative procedure. We will likely be operating in a fast-moving commercial environment where intervention needs to be done at pace, and negative procedure transfer regulations do not require prior parliamentary approval before they take legal effect.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