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Register of Overseas Entities (Protection and Trusts) and Limited Liability Partnerships (Application of Company Law) (Amendment)  Regulations 2026</w:t>
      </w:r>
    </w:p>
    <w:p>
      <w:r>
        <w:rPr>
          <w:sz w:val="20"/>
        </w:rPr>
        <w:t>1 July 2026  ·  Commons  ·  Statutory Instrument</w:t>
      </w:r>
    </w:p>
    <w:p>
      <w:r>
        <w:rPr>
          <w:b/>
        </w:rPr>
        <w:t xml:space="preserve">Policy areas: </w:t>
      </w:r>
      <w:r>
        <w:rPr>
          <w:sz w:val="20"/>
        </w:rPr>
        <w:t>Business and industry, Government and public administration</w:t>
      </w:r>
    </w:p>
    <w:p>
      <w:r>
        <w:rPr>
          <w:b/>
        </w:rPr>
        <w:t xml:space="preserve">Topics: </w:t>
      </w:r>
      <w:r>
        <w:rPr>
          <w:sz w:val="20"/>
        </w:rPr>
        <w:t>beneficial ownership disclosure, company law amendment, economic crime transparency, limited liability partnerships, register of overseas entities</w:t>
      </w:r>
    </w:p>
    <w:p>
      <w:r>
        <w:rPr>
          <w:b/>
        </w:rPr>
        <w:t xml:space="preserve">Source: </w:t>
      </w:r>
      <w:r>
        <w:rPr>
          <w:sz w:val="20"/>
        </w:rPr>
        <w:t>https://hansard.parliament.uk/Commons/2026-07-01/debates/ef42b85e-2bb9-4b30-adcc-abde63f071b0/DraftRegisterOfOverseasEntitiesProtectionAndTrustsAndLimitedLiabilityPartnershipsApplicationOfCompanyLawAmendmentRegulations2026</w:t>
      </w:r>
    </w:p>
    <w:p/>
    <w:p>
      <w:r>
        <w:rPr>
          <w:b/>
          <w:color w:val="1A4A6E"/>
          <w:sz w:val="22"/>
        </w:rPr>
        <w:t>Blair McDougall (The Parliamentary Under-Secretary of State for Business and Trade)</w:t>
      </w:r>
    </w:p>
    <w:p>
      <w:r>
        <w:rPr>
          <w:sz w:val="22"/>
        </w:rPr>
        <w:t>I beg to move,</w:t>
      </w:r>
    </w:p>
    <w:p>
      <w:r>
        <w:rPr>
          <w:sz w:val="22"/>
        </w:rPr>
        <w:t>That the Committee has considered the draft Register of Overseas Entities (Protection and Trusts) and Limited Liability Partnerships (Application of Company Law) (Amendment) Regulations 2026.</w:t>
      </w:r>
    </w:p>
    <w:p>
      <w:r>
        <w:rPr>
          <w:sz w:val="22"/>
        </w:rPr>
        <w:t>These regulations, which were laid in draft before this House on 1 June 2026, make targeted and technical amendments to strengthen the transparency and operation of the register of overseas entities, which I will refer to as the ROE or the register from here. They also correct a separate technical issue relating to limited liability partnerships, or LLPs.</w:t>
      </w:r>
    </w:p>
    <w:p>
      <w:r>
        <w:rPr>
          <w:sz w:val="22"/>
        </w:rPr>
        <w:t>Hon. Members will be aware that the ROE was introduced in 2022 as part of the Government’s efforts to increase transparency in land ownership and combat economic crime. It is a public register maintained by Companies House that requires overseas entities that own or acquire land in the United Kingdom to disclose information about their beneficial owners or managing officers.</w:t>
      </w:r>
    </w:p>
    <w:p>
      <w:r>
        <w:rPr>
          <w:sz w:val="22"/>
        </w:rPr>
        <w:t>The register plays an important role in shedding light on complex ownership structures and in supporting action against illicit activity. Information on the register has been used by law enforcement, journalists and other parties examining corruption, money laundering and assets held by sanctioned individuals.</w:t>
      </w:r>
    </w:p>
    <w:p>
      <w:r>
        <w:rPr>
          <w:sz w:val="22"/>
        </w:rPr>
        <w:t>Appropriate safeguards are in place through a protection regime that includes the ability to apply to Companies House to have a home address removed from the register. As part of the application, individuals are required to provide supporting evidence to confirm that the address on the register is indeed their residential address. However, in most cases, the registrar is able to identify and verify that information internally. Furthermore, there is currently no requirement for applicants to provide a replacement correspondence address. This results in a gap in the information available on the public register.</w:t>
      </w:r>
    </w:p>
    <w:p/>
    <w:p>
      <w:r>
        <w:rPr>
          <w:b/>
          <w:color w:val="1A4A6E"/>
          <w:sz w:val="22"/>
        </w:rPr>
        <w:t>Peter Fortune (Con)</w:t>
      </w:r>
    </w:p>
    <w:p>
      <w:r>
        <w:rPr>
          <w:sz w:val="22"/>
        </w:rPr>
        <w:t>I agree with the principles put forward in the regulations, but I am a little concerned about the regulations allowing overseas beneficial owners to suppress their residential address. Could the Minister reassure us on how the Government will prevent dirty money from flowing into the UK?</w:t>
      </w:r>
    </w:p>
    <w:p/>
    <w:p>
      <w:r>
        <w:rPr>
          <w:b/>
          <w:color w:val="1A4A6E"/>
          <w:sz w:val="22"/>
        </w:rPr>
        <w:t>Blair McDougall</w:t>
      </w:r>
    </w:p>
    <w:p>
      <w:r>
        <w:rPr>
          <w:sz w:val="22"/>
        </w:rPr>
        <w:t>Yes, I will come on to that. The hon. Gentleman will hopefully find reassurance shortly that that information will still be gathered.</w:t>
      </w:r>
    </w:p>
    <w:p>
      <w:r>
        <w:rPr>
          <w:sz w:val="22"/>
        </w:rPr>
        <w:t>Part 2 of these regulations streamlines the application process; applicants will no longer be required to provide supporting evidence when applying to remove a home address that appears on the public ROE. This removes an unnecessary administrative burden for applicants. The regulations also introduce a requirement for applicants to provide a replacement service address to be displayed on the public register, except in very limited circumstances. Taken together, these changes bring the ROE protection regime more closely in line with the approach taken with UK companies.</w:t>
      </w:r>
    </w:p>
    <w:p>
      <w:r>
        <w:rPr>
          <w:sz w:val="22"/>
        </w:rPr>
        <w:t>Part 3 of the regulations includes changes to the ROE’s trust disclosure service, which enables members of the public to apply to Companies House to access unpublished trust information held on the register. Under the current application process, individuals must provide their own details, as well as the overseas entity’s name and ID number. These details relating to the entity are publicly available on the register. However, applicants must also provide the name of the trust that they are requesting information on. The name of the trust is not publicly available on the register, and many applicants are therefore unlikely to have this information, which leads to rejected applications.</w:t>
      </w:r>
    </w:p>
    <w:p>
      <w:r>
        <w:rPr>
          <w:sz w:val="22"/>
        </w:rPr>
        <w:t>In addition, where an application relates to trust information involving a person under the age of 18, the applicant must demonstrate a legitimate interest. This is demonstrated by evidencing that the applicant is investigating money laundering, tax evasion, terrorist financing or sanctions breaches. However, currently, when that is not demonstrated, all associated trust information is withheld, including information relating to adults, so those requirements can act as a barrier to accessing trust information and limit the effectiveness of the service.</w:t>
      </w:r>
    </w:p>
    <w:p>
      <w:r>
        <w:rPr>
          <w:sz w:val="22"/>
        </w:rPr>
        <w:t>The instrument therefore makes two targeted changes to the trust disclosure service to improve public access while maintaining appropriate safeguards. First, it removes the requirement for all applicants to provide the name of the trust when requesting access to trust information. This addresses a key barrier for making a successful application.</w:t>
      </w:r>
    </w:p>
    <w:p>
      <w:r>
        <w:rPr>
          <w:sz w:val="22"/>
        </w:rPr>
        <w:t>Secondly, the instrument makes a further change where trust information involves a person under the age of 18. Where legitimate interest is not demonstrated, the regulations enable Companies House to disclose trust information related to any individual over 18 years old. This ensures that access to information is not unnecessarily restricted because an individual under 18 years old is associated with the trust. Access to trust information relating to those aged under 18 will continue to require a legitimate interest. Together these changes improve the transparency of trust information on the register and enable more effective scrutiny while maintaining appropriate protection for minors.</w:t>
      </w:r>
    </w:p>
    <w:p>
      <w:r>
        <w:rPr>
          <w:sz w:val="22"/>
        </w:rPr>
        <w:t>Finally, part 4 of the instrument makes a limited and technical correction to the LLP framework. The requirement to provide additional address information in certain circumstances was inadvertently introduced ahead of schedule. The instrument therefore removes the requirement for LLPs to provide additional address information. However, this requirement will be reinstated once appropriate systems are in place to collect the information for companies and LLPs, and work is ongoing to achieve that. In the meantime, other address information is available on the public register for all LLPs.</w:t>
      </w:r>
    </w:p>
    <w:p>
      <w:r>
        <w:rPr>
          <w:sz w:val="22"/>
        </w:rPr>
        <w:t>Taken together, these measures improve the transparency and practical operation of the ROE while resolving a small but necessary technical issue relating to LLPs. I commend the draft regulations to the House.</w:t>
      </w:r>
    </w:p>
    <w:p/>
    <w:p>
      <w:r>
        <w:rPr>
          <w:b/>
          <w:color w:val="1A4A6E"/>
          <w:sz w:val="22"/>
        </w:rPr>
        <w:t>Gareth Davies (Con)</w:t>
      </w:r>
    </w:p>
    <w:p>
      <w:r>
        <w:rPr>
          <w:sz w:val="22"/>
        </w:rPr>
        <w:t>It is a pleasure to serve on the Committee and to see you in the Chair, Mr Efford, and of course to see the Minister. I refer Committee members to my entry in the Register of Members’ Financial Interests, particularly my prior career in asset management, which involves some of the structures we are debating today.</w:t>
      </w:r>
    </w:p>
    <w:p>
      <w:r>
        <w:rPr>
          <w:sz w:val="22"/>
        </w:rPr>
        <w:t>I thank the Minister for providing such a thorough and clear explanation of the Government’s intentions with the regulations before us today. Whenever we debate regulations, we should always remember that it is essentially a balancing act—in this case between privacy in business and ensuring fairness, governance and transparency. Those aims are not mutually exclusive. It is our job to ensure that we get that balance right as often as we can.</w:t>
      </w:r>
    </w:p>
    <w:p>
      <w:r>
        <w:rPr>
          <w:sz w:val="22"/>
        </w:rPr>
        <w:t>I have a couple of questions for the Minister. First, he said that the regulations remove the requirement to provide trust names for applications looking to access unpublished information through the trust disclosure service. Paragraph 5.3 of the explanatory memorandum states that that is because many applicants have been found</w:t>
      </w:r>
    </w:p>
    <w:p>
      <w:r>
        <w:rPr>
          <w:sz w:val="22"/>
        </w:rPr>
        <w:t>“unlikely to have this information”,</w:t>
      </w:r>
    </w:p>
    <w:p>
      <w:r>
        <w:rPr>
          <w:sz w:val="22"/>
        </w:rPr>
        <w:t>resulting in their request being rejected. The Minister said that just moments ago. Can he therefore tell us how many applications have been made to the trust disclosure service since it was launched in August 2025? How many were rejected for that reason? That would help us understand the basis for the regulatory changes today.</w:t>
      </w:r>
    </w:p>
    <w:p>
      <w:r>
        <w:rPr>
          <w:sz w:val="22"/>
        </w:rPr>
        <w:t>By lowering the bar for applications and applicants, Withers law firm has warned that the change could open the door to speculative fishing expeditions. The Minister will be aware of that challenge from Withers, so I wonder what his response is to that specific challenge and concern.</w:t>
      </w:r>
    </w:p>
    <w:p>
      <w:r>
        <w:rPr>
          <w:sz w:val="22"/>
        </w:rPr>
        <w:t>Secondly, the regulations seek to introduce a requirement in most cases for the provision of a replacement address for individuals who submit a suppression application to remove their home address from the register of overseas entities. Can the Minister clarify whether those who have already successfully secured suppression of their home address from the public register will now be required to provide a replacement address, and whether it will be retrospective? If so, will they be informed, how will they be informed and what is the timeline for that information to be provided?</w:t>
      </w:r>
    </w:p>
    <w:p>
      <w:r>
        <w:rPr>
          <w:sz w:val="22"/>
        </w:rPr>
        <w:t>Finally, on the measures relating to LLPs, which the Minister discussed at the end of his remarks, page 3 of the explanatory memorandum states that these regulations are required because legislation was brought forward and passed in error by the Government last year, before adequate</w:t>
      </w:r>
    </w:p>
    <w:p>
      <w:r>
        <w:rPr>
          <w:sz w:val="22"/>
        </w:rPr>
        <w:t>“Companies House systems had been developed”.</w:t>
      </w:r>
    </w:p>
    <w:p>
      <w:r>
        <w:rPr>
          <w:sz w:val="22"/>
        </w:rPr>
        <w:t>I understand that the Government intend to bring the service requirement back, so when does the Minister expect Companies House to have the systems up and running so that they can process what they originally intended to last year? When will the reinstating regulations be laid before the House?</w:t>
      </w:r>
    </w:p>
    <w:p/>
    <w:p>
      <w:r>
        <w:rPr>
          <w:b/>
          <w:color w:val="1A4A6E"/>
          <w:sz w:val="22"/>
        </w:rPr>
        <w:t>Joshua Reynolds (LD)</w:t>
      </w:r>
    </w:p>
    <w:p>
      <w:r>
        <w:rPr>
          <w:sz w:val="22"/>
        </w:rPr>
        <w:t>It is a pleasure to serve with you in the Chair, Mr Efford. Tackling economic crime and financial secrecy is vital for our economic and national security. The registration of overseas entities is an important step in improving ownership transparency, and we welcome any measures that make it work better in practice.</w:t>
      </w:r>
    </w:p>
    <w:p>
      <w:r>
        <w:rPr>
          <w:sz w:val="22"/>
        </w:rPr>
        <w:t>However, I note with concern the temporary removal of the LLP address reporting requirements. The Government have stated that the reason is that Companies House systems are not yet equipped to receive and process that information, but that raises broader questions about pace and resourcing in Companies House more generally. We have known for a significant period of time that it has been underperforming, under-resourced and not doing what it should be in the appropriate manner. Having some transparency and clarity from the Minister would be beneficial.</w:t>
      </w:r>
    </w:p>
    <w:p>
      <w:r>
        <w:rPr>
          <w:sz w:val="22"/>
        </w:rPr>
        <w:t>The Government must set out a clear and binding timetable for when the LLP reporting requirements will be reinstated, and ensure that Companies House receives the investment that it needs to deliver the reforms that Parliament has already passed. I would be grateful if the Minister could clarify that.</w:t>
      </w:r>
    </w:p>
    <w:p/>
    <w:p>
      <w:r>
        <w:rPr>
          <w:b/>
          <w:color w:val="1A4A6E"/>
          <w:sz w:val="22"/>
        </w:rPr>
        <w:t>Blair McDougall</w:t>
      </w:r>
    </w:p>
    <w:p>
      <w:r>
        <w:rPr>
          <w:sz w:val="22"/>
        </w:rPr>
        <w:t>I thank both Front Benchers for their constructive and helpful questions. They both eloquently set out why this matters.</w:t>
      </w:r>
    </w:p>
    <w:p>
      <w:r>
        <w:rPr>
          <w:sz w:val="22"/>
        </w:rPr>
        <w:t>Turning to their specific questions, as of June, 29 applications had been received. Of those, nine were successful, 19 were rejected and one is currently being considered. With regards to worries about the abuse of trust in the service, we recognise the risks associated with trust structures, partly because their anonymity makes assets easier to hide. The Government also recognise the important role that law enforcement and the public can play in helping to mitigate those risks through greater transparency.</w:t>
      </w:r>
    </w:p>
    <w:p>
      <w:r>
        <w:rPr>
          <w:sz w:val="22"/>
        </w:rPr>
        <w:t>Access to trust information is subject to a £55 fee per overseas entry. That creates a deterrent for the type of misuse that the shadow Minister was worried about. When the original draft instrument was laid, as was said before, the structures were in place in Companies House for the recording of that information. Hon. Members on all sides of the House will recognise—not least because of the huge volume of economic crime legislation that has been passed in this place—that there are very heavy burdens on Companies House, as was said by the hon. Member for Maidenhead, and many systems that must be in place. I cannot give a precise date at the moment, but Companies House is working at pace on that.</w:t>
      </w:r>
    </w:p>
    <w:p>
      <w:r>
        <w:rPr>
          <w:sz w:val="22"/>
        </w:rPr>
        <w:t>On the question of looking backwards, the regulations do not have a retrospective impact. I would point to the review that is being undertaken by Dame Margaret Hodge, which looks at the wider issue of economic crime and our approach to transparency. Having responded to those questions, I commend the regulations to the Committee.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