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Marking of Retail Goods Regulations 2025</w:t>
      </w:r>
    </w:p>
    <w:p>
      <w:r>
        <w:rPr>
          <w:sz w:val="20"/>
        </w:rPr>
        <w:t>1 July 2025  ·  Lords  ·  Statutory Instrument</w:t>
      </w:r>
    </w:p>
    <w:p>
      <w:r>
        <w:rPr>
          <w:b/>
        </w:rPr>
        <w:t xml:space="preserve">Policy areas: </w:t>
      </w:r>
      <w:r>
        <w:rPr>
          <w:sz w:val="20"/>
        </w:rPr>
        <w:t>Business and industry, Finance and taxation</w:t>
      </w:r>
    </w:p>
    <w:p>
      <w:r>
        <w:rPr>
          <w:b/>
        </w:rPr>
        <w:t xml:space="preserve">Topics: </w:t>
      </w:r>
      <w:r>
        <w:rPr>
          <w:sz w:val="20"/>
        </w:rPr>
        <w:t>draft regulations approval, retail goods marking, secondary legislation scrutiny</w:t>
      </w:r>
    </w:p>
    <w:p>
      <w:r>
        <w:rPr>
          <w:b/>
        </w:rPr>
        <w:t xml:space="preserve">Source: </w:t>
      </w:r>
      <w:r>
        <w:rPr>
          <w:sz w:val="20"/>
        </w:rPr>
        <w:t>https://hansard.parliament.uk/Lords/2025-07-01/debates/E2A6F1F8-FDDF-44FC-ADED-A2A27B2BE8B3/MarkingOfRetailGoodsRegulations2025</w:t>
      </w:r>
    </w:p>
    <w:p/>
    <w:p>
      <w:r>
        <w:rPr>
          <w:b/>
          <w:color w:val="1A4A6E"/>
          <w:sz w:val="22"/>
        </w:rPr>
        <w:t>Baroness Hayman of Ullock</w:t>
      </w:r>
    </w:p>
    <w:p>
      <w:r>
        <w:rPr>
          <w:sz w:val="22"/>
        </w:rPr>
        <w:t>My Lords, I have already spoken to this Motion and therefore beg to move formally.</w:t>
      </w:r>
    </w:p>
    <w:p/>
    <w:p>
      <w:r>
        <w:rPr>
          <w:b/>
          <w:color w:val="1A4A6E"/>
          <w:sz w:val="22"/>
        </w:rPr>
        <w:t>The Parliamentary Under-Secretary of State, Department for Environment, Food and Rural Affairs (Lab)</w:t>
      </w:r>
    </w:p>
    <w:p>
      <w:r>
        <w:rPr>
          <w:sz w:val="22"/>
        </w:rPr>
        <w:t>My Lords, I hope my words did not provoke last night. I was reminiscing with Northern Ireland Members about those days in the 1980s and 1990s in the Commons when we used to speak all night on Northern Ireland business and then my late colleague Eric Forth and I pulled the stunt of having a renegade vote. I have a certain admiration for the stunt that colleagues pulled last night, but I see that there is a full Labour House tonight. If you want to know the Official Opposition line, you will find it in yesterday’s Hansard , column 577.</w:t>
      </w:r>
    </w:p>
    <w:p/>
    <w:p>
      <w:r>
        <w:rPr>
          <w:b/>
          <w:color w:val="1A4A6E"/>
          <w:sz w:val="22"/>
        </w:rPr>
        <w:t>Lord Blencathra</w:t>
      </w:r>
    </w:p>
    <w:p>
      <w:r>
        <w:rPr>
          <w:sz w:val="22"/>
        </w:rPr>
        <w:t>My Lords, I hope my words did not provoke last night. I was reminiscing with Northern Ireland Members about those days in the 1980s and 1990s in the Commons when we used to speak all night on Northern Ireland business and then my late colleague Eric Forth and I pulled the stunt of having a renegade vote. I have a certain admiration for the stunt that colleagues pulled last night, but I see that there is a full Labour House tonight. If you want to know the Official Opposition line, you will find it in yesterday’s Hansard , column 577.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