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Economic Growth: Rural Areas</w:t>
      </w:r>
    </w:p>
    <w:p>
      <w:r>
        <w:rPr>
          <w:sz w:val="20"/>
        </w:rPr>
        <w:t>1 July 2025  ·  Commons  ·  Oral Questions</w:t>
      </w:r>
    </w:p>
    <w:p>
      <w:r>
        <w:rPr>
          <w:b/>
        </w:rPr>
        <w:t xml:space="preserve">Policy areas: </w:t>
      </w:r>
      <w:r>
        <w:rPr>
          <w:sz w:val="20"/>
        </w:rPr>
        <w:t>Economy, Finance and taxation, Government and public administration, Housing and planning, Welfare and benefits</w:t>
      </w:r>
    </w:p>
    <w:p>
      <w:r>
        <w:rPr>
          <w:b/>
        </w:rPr>
        <w:t xml:space="preserve">Topics: </w:t>
      </w:r>
      <w:r>
        <w:rPr>
          <w:sz w:val="20"/>
        </w:rPr>
        <w:t>digital connectivity investment, funding for rural areas, rural economic growth, rural poverty, rural premium</w:t>
      </w:r>
    </w:p>
    <w:p>
      <w:r>
        <w:rPr>
          <w:b/>
        </w:rPr>
        <w:t xml:space="preserve">Source: </w:t>
      </w:r>
      <w:r>
        <w:rPr>
          <w:sz w:val="20"/>
        </w:rPr>
        <w:t>https://hansard.parliament.uk/Commons/2025-07-01/debates/3E604A96-ABA0-4CAD-A688-6FAACE7F67A7/EconomicGrowthRuralAreas</w:t>
      </w:r>
    </w:p>
    <w:p/>
    <w:p>
      <w:r>
        <w:rPr>
          <w:b/>
          <w:color w:val="1A4A6E"/>
          <w:sz w:val="22"/>
        </w:rPr>
        <w:t>Rachel Gilmour (LD)</w:t>
      </w:r>
    </w:p>
    <w:p>
      <w:r>
        <w:rPr>
          <w:sz w:val="22"/>
        </w:rPr>
        <w:t>12. What fiscal steps she is taking to help increase growth in rural areas.</w:t>
      </w:r>
    </w:p>
    <w:p/>
    <w:p>
      <w:r>
        <w:rPr>
          <w:b/>
          <w:color w:val="1A4A6E"/>
          <w:sz w:val="22"/>
        </w:rPr>
        <w:t>Emma Reynolds (The Economic Secretary to the Treasury)</w:t>
      </w:r>
    </w:p>
    <w:p>
      <w:r>
        <w:rPr>
          <w:sz w:val="22"/>
        </w:rPr>
        <w:t>The Government have committed £2.7 billion per year to support sustainable farming and nature recovery, supporting the rural economy. We have also confirmed investment of £1.9 billion over four years into digital connectivity as well as £2.3 billion of local government transport funding for smaller cities, towns and rural areas.</w:t>
      </w:r>
    </w:p>
    <w:p/>
    <w:p>
      <w:r>
        <w:rPr>
          <w:b/>
          <w:color w:val="1A4A6E"/>
          <w:sz w:val="22"/>
        </w:rPr>
        <w:t>Rachel Gilmour</w:t>
      </w:r>
    </w:p>
    <w:p>
      <w:r>
        <w:rPr>
          <w:sz w:val="22"/>
        </w:rPr>
        <w:t>While I welcome the Government’s rural growth plans, I am concerned about the persistent poverty in many rural areas. The additional costs of living in these communities—known as the rural premium—exacerbate hardship. What specific steps will the Chancellor take to support those in, or near, poverty in rural areas, and will the Treasury commit to revising the indices of multiple deprivation to more accurately reflect deprivation in rural and coastal communities, such as west Somerset and mid Devon?</w:t>
      </w:r>
    </w:p>
    <w:p/>
    <w:p>
      <w:r>
        <w:rPr>
          <w:b/>
          <w:color w:val="1A4A6E"/>
          <w:sz w:val="22"/>
        </w:rPr>
        <w:t>Emma Reynolds</w:t>
      </w:r>
    </w:p>
    <w:p>
      <w:r>
        <w:rPr>
          <w:sz w:val="22"/>
        </w:rPr>
        <w:t>The Ministry of Housing, Communities and Local Government will be coming forward with further details of funding for the 350 most deprived communities across the country, including rural areas.</w:t>
      </w:r>
    </w:p>
    <w:p/>
    <w:p>
      <w:r>
        <w:rPr>
          <w:b/>
          <w:color w:val="1A4A6E"/>
          <w:sz w:val="22"/>
        </w:rPr>
        <w:t>Jayne Kirkham (Lab/Co-op)</w:t>
      </w:r>
    </w:p>
    <w:p>
      <w:r>
        <w:rPr>
          <w:sz w:val="22"/>
        </w:rPr>
        <w:t>As one of the most deprived regions of northern Europe, Cornwall benefited from objective 1 structural and sustained prosperity fund funding. Can the Minister confirm that, under this Government, Cornwall will not lose out on funding for economic growth and the investment that our communities deserve?</w:t>
      </w:r>
    </w:p>
    <w:p/>
    <w:p>
      <w:r>
        <w:rPr>
          <w:b/>
          <w:color w:val="1A4A6E"/>
          <w:sz w:val="22"/>
        </w:rPr>
        <w:t>Emma Reynolds</w:t>
      </w:r>
    </w:p>
    <w:p>
      <w:r>
        <w:rPr>
          <w:sz w:val="22"/>
        </w:rPr>
        <w:t>We are supporting growth across the country, and we will publish further details of how we will do that in the coming weeks.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